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5D6CBC" w:rsidRPr="00872FEF" w:rsidRDefault="005D6CBC" w:rsidP="00872FEF">
      <w:pPr>
        <w:autoSpaceDE w:val="0"/>
        <w:autoSpaceDN w:val="0"/>
        <w:adjustRightInd w:val="0"/>
        <w:spacing w:after="0" w:line="240" w:lineRule="auto"/>
        <w:jc w:val="center"/>
        <w:rPr>
          <w:rFonts w:ascii="Times New Roman" w:hAnsi="Times New Roman" w:cs="Times New Roman"/>
          <w:sz w:val="24"/>
          <w:szCs w:val="24"/>
        </w:rPr>
      </w:pPr>
      <w:r w:rsidRPr="00CA3095">
        <w:rPr>
          <w:rFonts w:ascii="Times New Roman" w:hAnsi="Times New Roman" w:cs="Times New Roman"/>
          <w:sz w:val="24"/>
          <w:szCs w:val="24"/>
        </w:rPr>
        <w:t>(с изменениями №1 от 3</w:t>
      </w:r>
      <w:r>
        <w:rPr>
          <w:rFonts w:ascii="Times New Roman" w:hAnsi="Times New Roman" w:cs="Times New Roman"/>
          <w:sz w:val="24"/>
          <w:szCs w:val="24"/>
        </w:rPr>
        <w:t>1</w:t>
      </w:r>
      <w:r w:rsidRPr="00CA3095">
        <w:rPr>
          <w:rFonts w:ascii="Times New Roman" w:hAnsi="Times New Roman" w:cs="Times New Roman"/>
          <w:sz w:val="24"/>
          <w:szCs w:val="24"/>
        </w:rPr>
        <w:t>.01.202</w:t>
      </w:r>
      <w:r>
        <w:rPr>
          <w:rFonts w:ascii="Times New Roman" w:hAnsi="Times New Roman" w:cs="Times New Roman"/>
          <w:sz w:val="24"/>
          <w:szCs w:val="24"/>
        </w:rPr>
        <w:t>4</w:t>
      </w:r>
      <w:r w:rsidRPr="00CA3095">
        <w:rPr>
          <w:rFonts w:ascii="Times New Roman" w:hAnsi="Times New Roman" w:cs="Times New Roman"/>
          <w:sz w:val="24"/>
          <w:szCs w:val="24"/>
        </w:rPr>
        <w:t>г</w:t>
      </w:r>
      <w:r>
        <w:rPr>
          <w:rFonts w:ascii="Times New Roman" w:hAnsi="Times New Roman" w:cs="Times New Roman"/>
          <w:sz w:val="24"/>
          <w:szCs w:val="24"/>
        </w:rPr>
        <w:t>.</w:t>
      </w:r>
      <w:r w:rsidR="00796284">
        <w:rPr>
          <w:rFonts w:ascii="Times New Roman" w:hAnsi="Times New Roman" w:cs="Times New Roman"/>
          <w:sz w:val="24"/>
          <w:szCs w:val="24"/>
        </w:rPr>
        <w:t>, № 7 от 29.02.2024г.</w:t>
      </w:r>
      <w:r w:rsidR="00E3370A">
        <w:rPr>
          <w:rFonts w:ascii="Times New Roman" w:hAnsi="Times New Roman" w:cs="Times New Roman"/>
          <w:sz w:val="24"/>
          <w:szCs w:val="24"/>
        </w:rPr>
        <w:t>№ 9 от 27.03.2024г.</w:t>
      </w:r>
      <w:r w:rsidR="00DA3706">
        <w:rPr>
          <w:rFonts w:ascii="Times New Roman" w:hAnsi="Times New Roman" w:cs="Times New Roman"/>
          <w:sz w:val="24"/>
          <w:szCs w:val="24"/>
        </w:rPr>
        <w:t>, №18 от 27.05.2024г.</w:t>
      </w:r>
      <w:r w:rsidR="00872FEF">
        <w:rPr>
          <w:rFonts w:ascii="Times New Roman" w:hAnsi="Times New Roman" w:cs="Times New Roman"/>
          <w:sz w:val="24"/>
          <w:szCs w:val="24"/>
        </w:rPr>
        <w:t>, № 22 от 28.06.2024 г.</w:t>
      </w:r>
      <w:r w:rsidR="006215BC">
        <w:rPr>
          <w:rFonts w:ascii="Times New Roman" w:hAnsi="Times New Roman" w:cs="Times New Roman"/>
          <w:sz w:val="24"/>
          <w:szCs w:val="24"/>
        </w:rPr>
        <w:t>, №24 от 31.07.2024г.</w:t>
      </w:r>
      <w:r w:rsidR="006B1F89">
        <w:rPr>
          <w:rFonts w:ascii="Times New Roman" w:hAnsi="Times New Roman" w:cs="Times New Roman"/>
          <w:sz w:val="24"/>
          <w:szCs w:val="24"/>
        </w:rPr>
        <w:t>, № 35 от 30.09.2024г.</w:t>
      </w:r>
      <w:r w:rsidR="00872FEF">
        <w:rPr>
          <w:rFonts w:ascii="Times New Roman" w:hAnsi="Times New Roman" w:cs="Times New Roman"/>
          <w:sz w:val="24"/>
          <w:szCs w:val="24"/>
        </w:rPr>
        <w:t>)</w:t>
      </w:r>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10</w:t>
      </w:r>
      <w:r w:rsidR="00557B31">
        <w:rPr>
          <w:rFonts w:ascii="Times New Roman" w:hAnsi="Times New Roman" w:cs="Times New Roman"/>
          <w:sz w:val="28"/>
          <w:szCs w:val="28"/>
        </w:rPr>
        <w:t> 7</w:t>
      </w:r>
      <w:r w:rsidR="00DA3706">
        <w:rPr>
          <w:rFonts w:ascii="Times New Roman" w:hAnsi="Times New Roman" w:cs="Times New Roman"/>
          <w:sz w:val="28"/>
          <w:szCs w:val="28"/>
        </w:rPr>
        <w:t>40</w:t>
      </w:r>
      <w:r w:rsidR="00557B31">
        <w:rPr>
          <w:rFonts w:ascii="Times New Roman" w:hAnsi="Times New Roman" w:cs="Times New Roman"/>
          <w:sz w:val="28"/>
          <w:szCs w:val="28"/>
        </w:rPr>
        <w:t> 6</w:t>
      </w:r>
      <w:r w:rsidR="00DA3706">
        <w:rPr>
          <w:rFonts w:ascii="Times New Roman" w:hAnsi="Times New Roman" w:cs="Times New Roman"/>
          <w:sz w:val="28"/>
          <w:szCs w:val="28"/>
        </w:rPr>
        <w:t>2</w:t>
      </w:r>
      <w:r w:rsidR="00557B31">
        <w:rPr>
          <w:rFonts w:ascii="Times New Roman" w:hAnsi="Times New Roman" w:cs="Times New Roman"/>
          <w:sz w:val="28"/>
          <w:szCs w:val="28"/>
        </w:rPr>
        <w:t>6,10</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w:t>
      </w:r>
      <w:r w:rsidR="00796284">
        <w:rPr>
          <w:rFonts w:ascii="Times New Roman" w:hAnsi="Times New Roman" w:cs="Times New Roman"/>
          <w:sz w:val="28"/>
          <w:szCs w:val="28"/>
        </w:rPr>
        <w:t>3</w:t>
      </w:r>
      <w:r w:rsidR="005331F2">
        <w:rPr>
          <w:rFonts w:ascii="Times New Roman" w:hAnsi="Times New Roman" w:cs="Times New Roman"/>
          <w:sz w:val="28"/>
          <w:szCs w:val="28"/>
        </w:rPr>
        <w:t> </w:t>
      </w:r>
      <w:r w:rsidR="00557B31">
        <w:rPr>
          <w:rFonts w:ascii="Times New Roman" w:hAnsi="Times New Roman" w:cs="Times New Roman"/>
          <w:sz w:val="28"/>
          <w:szCs w:val="28"/>
        </w:rPr>
        <w:t>2</w:t>
      </w:r>
      <w:r w:rsidR="00DA3706">
        <w:rPr>
          <w:rFonts w:ascii="Times New Roman" w:hAnsi="Times New Roman" w:cs="Times New Roman"/>
          <w:sz w:val="28"/>
          <w:szCs w:val="28"/>
        </w:rPr>
        <w:t>81 893,46</w:t>
      </w:r>
      <w:r w:rsidR="005331F2"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w:t>
      </w:r>
      <w:proofErr w:type="spellStart"/>
      <w:r w:rsidR="002F690E" w:rsidRPr="00FF4968">
        <w:rPr>
          <w:rFonts w:ascii="Times New Roman" w:hAnsi="Times New Roman" w:cs="Times New Roman"/>
          <w:sz w:val="28"/>
          <w:szCs w:val="28"/>
        </w:rPr>
        <w:t>профицит</w:t>
      </w:r>
      <w:proofErr w:type="spellEnd"/>
      <w:r w:rsidR="002F690E" w:rsidRPr="00FF4968">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796284">
        <w:rPr>
          <w:rFonts w:ascii="Times New Roman" w:hAnsi="Times New Roman" w:cs="Times New Roman"/>
          <w:sz w:val="28"/>
          <w:szCs w:val="28"/>
        </w:rPr>
        <w:t>2 541 267,36</w:t>
      </w:r>
      <w:r w:rsidR="005D6CBC">
        <w:rPr>
          <w:rFonts w:ascii="Times New Roman" w:hAnsi="Times New Roman" w:cs="Times New Roman"/>
          <w:sz w:val="28"/>
          <w:szCs w:val="28"/>
        </w:rPr>
        <w:t xml:space="preserve"> руб</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w:t>
      </w:r>
      <w:r w:rsidR="00557B31">
        <w:rPr>
          <w:rFonts w:ascii="Times New Roman" w:hAnsi="Times New Roman" w:cs="Times New Roman"/>
          <w:sz w:val="28"/>
          <w:szCs w:val="28"/>
        </w:rPr>
        <w:t> 499 377,25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DA3706">
        <w:rPr>
          <w:rFonts w:ascii="Times New Roman" w:hAnsi="Times New Roman" w:cs="Times New Roman"/>
          <w:sz w:val="28"/>
          <w:szCs w:val="28"/>
        </w:rPr>
        <w:t>230</w:t>
      </w:r>
      <w:r w:rsidR="00FF4968" w:rsidRPr="00FF4968">
        <w:rPr>
          <w:rFonts w:ascii="Times New Roman" w:hAnsi="Times New Roman" w:cs="Times New Roman"/>
          <w:sz w:val="28"/>
          <w:szCs w:val="28"/>
        </w:rPr>
        <w:t xml:space="preserve"> </w:t>
      </w:r>
      <w:r w:rsidR="00DA3706">
        <w:rPr>
          <w:rFonts w:ascii="Times New Roman" w:hAnsi="Times New Roman" w:cs="Times New Roman"/>
          <w:sz w:val="28"/>
          <w:szCs w:val="28"/>
        </w:rPr>
        <w:t>043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w:t>
      </w:r>
      <w:r w:rsidRPr="00F831C3">
        <w:rPr>
          <w:rFonts w:ascii="Times New Roman" w:hAnsi="Times New Roman" w:cs="Times New Roman"/>
          <w:spacing w:val="-2"/>
          <w:sz w:val="28"/>
          <w:szCs w:val="28"/>
        </w:rPr>
        <w:lastRenderedPageBreak/>
        <w:t>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w:t>
      </w:r>
      <w:r w:rsidR="00796284">
        <w:rPr>
          <w:rFonts w:ascii="Times New Roman" w:hAnsi="Times New Roman" w:cs="Times New Roman"/>
          <w:spacing w:val="-2"/>
          <w:sz w:val="28"/>
          <w:szCs w:val="28"/>
        </w:rPr>
        <w:t>7 618,36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557B31">
        <w:rPr>
          <w:rFonts w:ascii="Times New Roman" w:hAnsi="Times New Roman" w:cs="Times New Roman"/>
          <w:spacing w:val="-2"/>
          <w:sz w:val="28"/>
          <w:szCs w:val="28"/>
        </w:rPr>
        <w:t>2 061 820,28</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557B31">
        <w:rPr>
          <w:rFonts w:ascii="Times New Roman" w:hAnsi="Times New Roman" w:cs="Times New Roman"/>
          <w:spacing w:val="-2"/>
          <w:sz w:val="28"/>
          <w:szCs w:val="28"/>
        </w:rPr>
        <w:t>1 813 604,00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557B31">
        <w:rPr>
          <w:rFonts w:ascii="Times New Roman" w:hAnsi="Times New Roman" w:cs="Times New Roman"/>
          <w:spacing w:val="-2"/>
          <w:sz w:val="28"/>
          <w:szCs w:val="28"/>
        </w:rPr>
        <w:t>1 745 680,00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5 000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lastRenderedPageBreak/>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w:t>
      </w:r>
      <w:r w:rsidR="00557B31">
        <w:rPr>
          <w:rFonts w:ascii="Times New Roman" w:hAnsi="Times New Roman" w:cs="Times New Roman"/>
          <w:sz w:val="28"/>
          <w:szCs w:val="28"/>
        </w:rPr>
        <w:t> 2</w:t>
      </w:r>
      <w:r w:rsidR="00970CE9">
        <w:rPr>
          <w:rFonts w:ascii="Times New Roman" w:hAnsi="Times New Roman" w:cs="Times New Roman"/>
          <w:sz w:val="28"/>
          <w:szCs w:val="28"/>
        </w:rPr>
        <w:t>45</w:t>
      </w:r>
      <w:r w:rsidR="00557B31">
        <w:rPr>
          <w:rFonts w:ascii="Times New Roman" w:hAnsi="Times New Roman" w:cs="Times New Roman"/>
          <w:sz w:val="28"/>
          <w:szCs w:val="28"/>
        </w:rPr>
        <w:t xml:space="preserve"> 1</w:t>
      </w:r>
      <w:r w:rsidR="00970CE9">
        <w:rPr>
          <w:rFonts w:ascii="Times New Roman" w:hAnsi="Times New Roman" w:cs="Times New Roman"/>
          <w:sz w:val="28"/>
          <w:szCs w:val="28"/>
        </w:rPr>
        <w:t>1</w:t>
      </w:r>
      <w:r w:rsidR="00557B31">
        <w:rPr>
          <w:rFonts w:ascii="Times New Roman" w:hAnsi="Times New Roman" w:cs="Times New Roman"/>
          <w:sz w:val="28"/>
          <w:szCs w:val="28"/>
        </w:rPr>
        <w:t>3,10</w:t>
      </w:r>
      <w:r w:rsidR="00CA6E77">
        <w:rPr>
          <w:rFonts w:ascii="Times New Roman" w:hAnsi="Times New Roman" w:cs="Times New Roman"/>
          <w:sz w:val="28"/>
          <w:szCs w:val="28"/>
        </w:rPr>
        <w:t xml:space="preserve">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427 658</w:t>
      </w:r>
      <w:r w:rsidR="00451138" w:rsidRPr="00451138">
        <w:rPr>
          <w:rFonts w:ascii="Times New Roman" w:hAnsi="Times New Roman" w:cs="Times New Roman"/>
          <w:sz w:val="28"/>
          <w:szCs w:val="28"/>
        </w:rPr>
        <w:t>,00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4"/>
          <w:szCs w:val="24"/>
        </w:rPr>
      </w:pPr>
    </w:p>
    <w:p w:rsidR="00796284" w:rsidRDefault="00796284" w:rsidP="00796284">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796284" w:rsidRDefault="00796284" w:rsidP="00796284">
      <w:pPr>
        <w:pStyle w:val="Style2"/>
        <w:widowControl/>
        <w:spacing w:line="240" w:lineRule="auto"/>
        <w:ind w:firstLine="709"/>
        <w:jc w:val="both"/>
        <w:rPr>
          <w:rFonts w:ascii="Times New Roman" w:hAnsi="Times New Roman"/>
          <w:sz w:val="26"/>
          <w:szCs w:val="26"/>
        </w:rPr>
      </w:pPr>
    </w:p>
    <w:p w:rsidR="00796284" w:rsidRDefault="00796284" w:rsidP="00796284">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lastRenderedPageBreak/>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1DA5"/>
    <w:rsid w:val="001B3AB3"/>
    <w:rsid w:val="001B3FAD"/>
    <w:rsid w:val="001C3D51"/>
    <w:rsid w:val="001E0AD2"/>
    <w:rsid w:val="00221ED4"/>
    <w:rsid w:val="002300FE"/>
    <w:rsid w:val="00243A7D"/>
    <w:rsid w:val="00250E4D"/>
    <w:rsid w:val="0025557C"/>
    <w:rsid w:val="00261603"/>
    <w:rsid w:val="002713D8"/>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47834"/>
    <w:rsid w:val="00551814"/>
    <w:rsid w:val="00557B31"/>
    <w:rsid w:val="00582AD3"/>
    <w:rsid w:val="00595D6F"/>
    <w:rsid w:val="005D3318"/>
    <w:rsid w:val="005D335D"/>
    <w:rsid w:val="005D6CBC"/>
    <w:rsid w:val="005D7FE0"/>
    <w:rsid w:val="005E2B58"/>
    <w:rsid w:val="005E5215"/>
    <w:rsid w:val="005F2522"/>
    <w:rsid w:val="005F3DC9"/>
    <w:rsid w:val="00610D44"/>
    <w:rsid w:val="0061250C"/>
    <w:rsid w:val="00615F1E"/>
    <w:rsid w:val="006215BC"/>
    <w:rsid w:val="00622F7C"/>
    <w:rsid w:val="00624855"/>
    <w:rsid w:val="0063773D"/>
    <w:rsid w:val="00652654"/>
    <w:rsid w:val="0065628E"/>
    <w:rsid w:val="00656878"/>
    <w:rsid w:val="00665C21"/>
    <w:rsid w:val="00665C92"/>
    <w:rsid w:val="0069015F"/>
    <w:rsid w:val="0069337C"/>
    <w:rsid w:val="0069622D"/>
    <w:rsid w:val="006A48E3"/>
    <w:rsid w:val="006A626B"/>
    <w:rsid w:val="006A74E1"/>
    <w:rsid w:val="006B1CF5"/>
    <w:rsid w:val="006B1F89"/>
    <w:rsid w:val="006C1F52"/>
    <w:rsid w:val="006F1041"/>
    <w:rsid w:val="007117C7"/>
    <w:rsid w:val="00735D9E"/>
    <w:rsid w:val="0074639A"/>
    <w:rsid w:val="00765AB9"/>
    <w:rsid w:val="0078684B"/>
    <w:rsid w:val="00792649"/>
    <w:rsid w:val="00796284"/>
    <w:rsid w:val="007A2D91"/>
    <w:rsid w:val="007A556F"/>
    <w:rsid w:val="007B6A00"/>
    <w:rsid w:val="007C2CF3"/>
    <w:rsid w:val="007E1E80"/>
    <w:rsid w:val="007E3256"/>
    <w:rsid w:val="007E4CAB"/>
    <w:rsid w:val="00803D78"/>
    <w:rsid w:val="00804F0F"/>
    <w:rsid w:val="008072DF"/>
    <w:rsid w:val="008202C2"/>
    <w:rsid w:val="00831F4E"/>
    <w:rsid w:val="0083245B"/>
    <w:rsid w:val="00864E89"/>
    <w:rsid w:val="00872FEF"/>
    <w:rsid w:val="00873A5D"/>
    <w:rsid w:val="0087683C"/>
    <w:rsid w:val="00890D9C"/>
    <w:rsid w:val="00897E79"/>
    <w:rsid w:val="008C3CB3"/>
    <w:rsid w:val="008E23A7"/>
    <w:rsid w:val="00917102"/>
    <w:rsid w:val="00917234"/>
    <w:rsid w:val="00955A1C"/>
    <w:rsid w:val="00970CE9"/>
    <w:rsid w:val="0097538E"/>
    <w:rsid w:val="009807A2"/>
    <w:rsid w:val="00990DF8"/>
    <w:rsid w:val="009E498E"/>
    <w:rsid w:val="009F5CF4"/>
    <w:rsid w:val="00A0030C"/>
    <w:rsid w:val="00A01C09"/>
    <w:rsid w:val="00A048C6"/>
    <w:rsid w:val="00A1340A"/>
    <w:rsid w:val="00A161CC"/>
    <w:rsid w:val="00A360BD"/>
    <w:rsid w:val="00A65448"/>
    <w:rsid w:val="00A74F52"/>
    <w:rsid w:val="00AC0C1C"/>
    <w:rsid w:val="00AE14E1"/>
    <w:rsid w:val="00B23311"/>
    <w:rsid w:val="00B4271D"/>
    <w:rsid w:val="00B459CF"/>
    <w:rsid w:val="00B570C7"/>
    <w:rsid w:val="00BB7DE7"/>
    <w:rsid w:val="00BC5939"/>
    <w:rsid w:val="00BF76EE"/>
    <w:rsid w:val="00C11BE9"/>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3706"/>
    <w:rsid w:val="00DA69F0"/>
    <w:rsid w:val="00DC5805"/>
    <w:rsid w:val="00DD66A3"/>
    <w:rsid w:val="00DE2D70"/>
    <w:rsid w:val="00E3370A"/>
    <w:rsid w:val="00E45520"/>
    <w:rsid w:val="00E62081"/>
    <w:rsid w:val="00E66BA2"/>
    <w:rsid w:val="00E70FBF"/>
    <w:rsid w:val="00E9281A"/>
    <w:rsid w:val="00E93F00"/>
    <w:rsid w:val="00E97146"/>
    <w:rsid w:val="00EA5D28"/>
    <w:rsid w:val="00EC1B3F"/>
    <w:rsid w:val="00ED7E9B"/>
    <w:rsid w:val="00EE1DC8"/>
    <w:rsid w:val="00EF6604"/>
    <w:rsid w:val="00F02242"/>
    <w:rsid w:val="00F07F73"/>
    <w:rsid w:val="00F12C00"/>
    <w:rsid w:val="00F21539"/>
    <w:rsid w:val="00F22808"/>
    <w:rsid w:val="00F44817"/>
    <w:rsid w:val="00F60A94"/>
    <w:rsid w:val="00F67D32"/>
    <w:rsid w:val="00F74CC7"/>
    <w:rsid w:val="00F831C3"/>
    <w:rsid w:val="00FA62F4"/>
    <w:rsid w:val="00FC0B34"/>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6</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63</cp:revision>
  <cp:lastPrinted>2024-02-29T10:48:00Z</cp:lastPrinted>
  <dcterms:created xsi:type="dcterms:W3CDTF">2020-11-11T04:23:00Z</dcterms:created>
  <dcterms:modified xsi:type="dcterms:W3CDTF">2024-09-24T03:59:00Z</dcterms:modified>
</cp:coreProperties>
</file>