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52" w:rsidRDefault="00AF5F52" w:rsidP="00AF5F52">
      <w:pPr>
        <w:rPr>
          <w:sz w:val="28"/>
          <w:szCs w:val="28"/>
        </w:rPr>
      </w:pPr>
    </w:p>
    <w:p w:rsidR="00AF5F52" w:rsidRPr="00DD76DF" w:rsidRDefault="00AF5F52" w:rsidP="00AF5F52">
      <w:pPr>
        <w:pBdr>
          <w:bottom w:val="single" w:sz="12" w:space="1" w:color="auto"/>
        </w:pBdr>
        <w:jc w:val="center"/>
        <w:rPr>
          <w:b/>
          <w:szCs w:val="28"/>
        </w:rPr>
      </w:pPr>
      <w:r w:rsidRPr="00DD76DF">
        <w:rPr>
          <w:b/>
          <w:szCs w:val="28"/>
        </w:rPr>
        <w:t>АДМИНИСТРАЦИЯ МУНИЦИПАЛЬНОГО ОБРАЗОВАНИЯ</w:t>
      </w:r>
    </w:p>
    <w:p w:rsidR="00AF5F52" w:rsidRPr="00DD76DF" w:rsidRDefault="007C630F" w:rsidP="00AF5F52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ОЛЬГИНСКОГО</w:t>
      </w:r>
      <w:r w:rsidR="00AF5F52" w:rsidRPr="00DD76DF">
        <w:rPr>
          <w:b/>
          <w:szCs w:val="28"/>
        </w:rPr>
        <w:t xml:space="preserve">    СЕЛЬСКОГО     ПОСЕЛЕНИЯ</w:t>
      </w:r>
    </w:p>
    <w:p w:rsidR="00AF5F52" w:rsidRPr="00DD76DF" w:rsidRDefault="00AF5F52" w:rsidP="00AF5F52">
      <w:pPr>
        <w:pBdr>
          <w:bottom w:val="single" w:sz="12" w:space="1" w:color="auto"/>
        </w:pBdr>
        <w:jc w:val="center"/>
        <w:rPr>
          <w:b/>
          <w:szCs w:val="28"/>
        </w:rPr>
      </w:pPr>
      <w:r w:rsidRPr="00DD76DF">
        <w:rPr>
          <w:b/>
          <w:szCs w:val="28"/>
        </w:rPr>
        <w:t>ПОЛТАВСКОГО МУНИЦИПАЛЬНОГО РАЙОНА ОМСКОЙ ОБЛАСТИ</w:t>
      </w:r>
    </w:p>
    <w:p w:rsidR="00AF5F52" w:rsidRDefault="00AF5F52" w:rsidP="00AF5F52">
      <w:pPr>
        <w:jc w:val="center"/>
        <w:rPr>
          <w:b/>
          <w:szCs w:val="28"/>
        </w:rPr>
      </w:pPr>
      <w:r w:rsidRPr="00DD76DF">
        <w:rPr>
          <w:b/>
          <w:szCs w:val="28"/>
        </w:rPr>
        <w:t xml:space="preserve"> </w:t>
      </w:r>
    </w:p>
    <w:p w:rsidR="00AF5F52" w:rsidRPr="007C31CA" w:rsidRDefault="00AF5F52" w:rsidP="00AF5F52">
      <w:pPr>
        <w:jc w:val="center"/>
        <w:rPr>
          <w:b/>
          <w:szCs w:val="28"/>
        </w:rPr>
      </w:pPr>
    </w:p>
    <w:p w:rsidR="00AF5F52" w:rsidRPr="007C31CA" w:rsidRDefault="00AF5F52" w:rsidP="00AF5F52">
      <w:pPr>
        <w:tabs>
          <w:tab w:val="left" w:pos="567"/>
          <w:tab w:val="left" w:pos="9072"/>
        </w:tabs>
        <w:jc w:val="center"/>
        <w:rPr>
          <w:b/>
          <w:szCs w:val="28"/>
        </w:rPr>
      </w:pPr>
      <w:r w:rsidRPr="007C31CA">
        <w:rPr>
          <w:b/>
          <w:szCs w:val="28"/>
        </w:rPr>
        <w:t>ПОСТАНОВЛЕНИЕ</w:t>
      </w:r>
    </w:p>
    <w:p w:rsidR="00AF5F52" w:rsidRPr="008138C2" w:rsidRDefault="00AF5F52" w:rsidP="00AF5F52"/>
    <w:p w:rsidR="00AF5F52" w:rsidRDefault="00AF5F52" w:rsidP="00AF5F52">
      <w:pPr>
        <w:pStyle w:val="1"/>
        <w:numPr>
          <w:ilvl w:val="0"/>
          <w:numId w:val="0"/>
        </w:numPr>
        <w:rPr>
          <w:rFonts w:eastAsia="Times New Roman"/>
          <w:b w:val="0"/>
          <w:sz w:val="24"/>
          <w:szCs w:val="24"/>
          <w:u w:val="none"/>
        </w:rPr>
      </w:pPr>
    </w:p>
    <w:p w:rsidR="00AF5F52" w:rsidRPr="007C31CA" w:rsidRDefault="00726A0B" w:rsidP="00AF5F52">
      <w:pPr>
        <w:pStyle w:val="1"/>
        <w:numPr>
          <w:ilvl w:val="0"/>
          <w:numId w:val="0"/>
        </w:numPr>
        <w:rPr>
          <w:b w:val="0"/>
          <w:sz w:val="24"/>
          <w:szCs w:val="24"/>
          <w:u w:val="none"/>
        </w:rPr>
      </w:pPr>
      <w:r w:rsidRPr="007C31CA">
        <w:rPr>
          <w:b w:val="0"/>
          <w:sz w:val="24"/>
          <w:szCs w:val="24"/>
          <w:u w:val="none"/>
        </w:rPr>
        <w:t>О</w:t>
      </w:r>
      <w:r w:rsidR="00AF5F52" w:rsidRPr="007C31CA">
        <w:rPr>
          <w:b w:val="0"/>
          <w:sz w:val="24"/>
          <w:szCs w:val="24"/>
          <w:u w:val="none"/>
        </w:rPr>
        <w:t>т</w:t>
      </w:r>
      <w:r>
        <w:rPr>
          <w:b w:val="0"/>
          <w:sz w:val="24"/>
          <w:szCs w:val="24"/>
          <w:u w:val="none"/>
        </w:rPr>
        <w:t xml:space="preserve">  </w:t>
      </w:r>
      <w:r w:rsidR="00AF5F52" w:rsidRPr="007C31CA">
        <w:rPr>
          <w:b w:val="0"/>
          <w:sz w:val="24"/>
          <w:szCs w:val="24"/>
          <w:u w:val="none"/>
        </w:rPr>
        <w:t xml:space="preserve"> </w:t>
      </w:r>
      <w:r w:rsidR="00930DA6">
        <w:rPr>
          <w:b w:val="0"/>
          <w:sz w:val="24"/>
          <w:szCs w:val="24"/>
          <w:u w:val="none"/>
        </w:rPr>
        <w:t xml:space="preserve">08 </w:t>
      </w:r>
      <w:r w:rsidR="00C1721C">
        <w:rPr>
          <w:b w:val="0"/>
          <w:sz w:val="24"/>
          <w:szCs w:val="24"/>
          <w:u w:val="none"/>
        </w:rPr>
        <w:t xml:space="preserve">августа </w:t>
      </w:r>
      <w:r w:rsidR="00BA396F">
        <w:rPr>
          <w:b w:val="0"/>
          <w:sz w:val="24"/>
          <w:szCs w:val="24"/>
          <w:u w:val="none"/>
        </w:rPr>
        <w:t xml:space="preserve"> 202</w:t>
      </w:r>
      <w:r w:rsidR="00C1721C">
        <w:rPr>
          <w:b w:val="0"/>
          <w:sz w:val="24"/>
          <w:szCs w:val="24"/>
          <w:u w:val="none"/>
        </w:rPr>
        <w:t>4</w:t>
      </w:r>
      <w:r w:rsidR="007A002A">
        <w:rPr>
          <w:b w:val="0"/>
          <w:sz w:val="24"/>
          <w:szCs w:val="24"/>
          <w:u w:val="none"/>
        </w:rPr>
        <w:t xml:space="preserve"> года</w:t>
      </w:r>
      <w:r w:rsidR="00AF5F52" w:rsidRPr="00795BDC">
        <w:rPr>
          <w:b w:val="0"/>
          <w:sz w:val="24"/>
          <w:szCs w:val="24"/>
          <w:u w:val="none"/>
        </w:rPr>
        <w:t xml:space="preserve">                       </w:t>
      </w:r>
      <w:r w:rsidR="00BA396F">
        <w:rPr>
          <w:b w:val="0"/>
          <w:sz w:val="24"/>
          <w:szCs w:val="24"/>
          <w:u w:val="none"/>
        </w:rPr>
        <w:t xml:space="preserve">                             </w:t>
      </w:r>
      <w:r w:rsidR="00AF5F52" w:rsidRPr="00795BDC">
        <w:rPr>
          <w:b w:val="0"/>
          <w:sz w:val="24"/>
          <w:szCs w:val="24"/>
          <w:u w:val="none"/>
        </w:rPr>
        <w:t xml:space="preserve">               </w:t>
      </w:r>
      <w:r w:rsidR="00AF5F52">
        <w:rPr>
          <w:b w:val="0"/>
          <w:sz w:val="24"/>
          <w:szCs w:val="24"/>
          <w:u w:val="none"/>
        </w:rPr>
        <w:t xml:space="preserve">                            </w:t>
      </w:r>
      <w:r w:rsidR="005D2982">
        <w:rPr>
          <w:b w:val="0"/>
          <w:sz w:val="24"/>
          <w:szCs w:val="24"/>
          <w:u w:val="none"/>
        </w:rPr>
        <w:t xml:space="preserve">    </w:t>
      </w:r>
      <w:r w:rsidR="00AF5F52">
        <w:rPr>
          <w:b w:val="0"/>
          <w:sz w:val="24"/>
          <w:szCs w:val="24"/>
          <w:u w:val="none"/>
        </w:rPr>
        <w:t xml:space="preserve">  №  </w:t>
      </w:r>
      <w:r w:rsidR="00930DA6">
        <w:rPr>
          <w:b w:val="0"/>
          <w:sz w:val="24"/>
          <w:szCs w:val="24"/>
          <w:u w:val="none"/>
        </w:rPr>
        <w:t>35</w:t>
      </w:r>
    </w:p>
    <w:p w:rsidR="00AF5F52" w:rsidRPr="007C31CA" w:rsidRDefault="00AF5F52" w:rsidP="00AF5F52"/>
    <w:p w:rsidR="00726A0B" w:rsidRPr="00AF5F52" w:rsidRDefault="00726A0B" w:rsidP="00726A0B">
      <w:pPr>
        <w:tabs>
          <w:tab w:val="left" w:pos="4820"/>
        </w:tabs>
        <w:ind w:right="4535"/>
        <w:jc w:val="both"/>
        <w:rPr>
          <w:b/>
        </w:rPr>
      </w:pPr>
      <w:r w:rsidRPr="00AF5F52">
        <w:rPr>
          <w:b/>
          <w:color w:val="000000"/>
        </w:rPr>
        <w:t>О</w:t>
      </w:r>
      <w:r>
        <w:rPr>
          <w:b/>
          <w:color w:val="000000"/>
        </w:rPr>
        <w:t xml:space="preserve"> внесении изменений в постановление от 18.07.2022 № 76 «О</w:t>
      </w:r>
      <w:r w:rsidRPr="00AF5F52">
        <w:rPr>
          <w:b/>
          <w:color w:val="000000"/>
        </w:rPr>
        <w:t xml:space="preserve">б  утверждении Методики прогнозирования поступлений </w:t>
      </w:r>
      <w:r w:rsidRPr="00AF5F52">
        <w:rPr>
          <w:b/>
        </w:rPr>
        <w:t xml:space="preserve">доходов </w:t>
      </w:r>
      <w:r>
        <w:rPr>
          <w:b/>
        </w:rPr>
        <w:t xml:space="preserve">в </w:t>
      </w:r>
      <w:r w:rsidRPr="00AF5F52">
        <w:rPr>
          <w:b/>
        </w:rPr>
        <w:t>бюджет, поступлений по источникам финансирования дефицита бюджета, главным ад</w:t>
      </w:r>
      <w:r>
        <w:rPr>
          <w:b/>
        </w:rPr>
        <w:t>министратором которых является А</w:t>
      </w:r>
      <w:r w:rsidRPr="00AF5F52">
        <w:rPr>
          <w:b/>
        </w:rPr>
        <w:t xml:space="preserve">дминистрация </w:t>
      </w:r>
      <w:r>
        <w:rPr>
          <w:b/>
        </w:rPr>
        <w:t>Ольгинского</w:t>
      </w:r>
      <w:r w:rsidRPr="00AF5F52">
        <w:rPr>
          <w:b/>
        </w:rPr>
        <w:t xml:space="preserve"> сельского поселения</w:t>
      </w:r>
      <w:r>
        <w:rPr>
          <w:b/>
        </w:rPr>
        <w:t>»</w:t>
      </w:r>
    </w:p>
    <w:p w:rsidR="00AF5F52" w:rsidRPr="00AF5F52" w:rsidRDefault="00AF5F52" w:rsidP="00AF5F52">
      <w:pPr>
        <w:rPr>
          <w:sz w:val="18"/>
        </w:rPr>
      </w:pPr>
    </w:p>
    <w:p w:rsidR="00D537BE" w:rsidRPr="00C2237C" w:rsidRDefault="00D537BE" w:rsidP="00A33291">
      <w:pPr>
        <w:jc w:val="both"/>
      </w:pPr>
    </w:p>
    <w:p w:rsidR="007A002A" w:rsidRDefault="00930819" w:rsidP="007A002A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C2237C">
        <w:rPr>
          <w:rFonts w:ascii="Arial" w:hAnsi="Arial" w:cs="Arial"/>
          <w:color w:val="000000"/>
        </w:rPr>
        <w:tab/>
      </w:r>
      <w:proofErr w:type="gramStart"/>
      <w:r w:rsidR="005E2F37">
        <w:rPr>
          <w:color w:val="000000"/>
        </w:rPr>
        <w:t xml:space="preserve">В соответствии </w:t>
      </w:r>
      <w:r w:rsidR="007A002A">
        <w:rPr>
          <w:color w:val="000000"/>
        </w:rPr>
        <w:t>с пунктом 1</w:t>
      </w:r>
      <w:r w:rsidR="005E2F37" w:rsidRPr="00257A34">
        <w:rPr>
          <w:color w:val="000000"/>
        </w:rPr>
        <w:t xml:space="preserve"> стать</w:t>
      </w:r>
      <w:r w:rsidR="007A002A">
        <w:rPr>
          <w:color w:val="000000"/>
        </w:rPr>
        <w:t>и</w:t>
      </w:r>
      <w:r w:rsidR="005E2F37" w:rsidRPr="00257A34">
        <w:rPr>
          <w:color w:val="000000"/>
        </w:rPr>
        <w:t xml:space="preserve"> 160.1</w:t>
      </w:r>
      <w:r w:rsidR="007A002A">
        <w:rPr>
          <w:color w:val="000000"/>
        </w:rPr>
        <w:t>, пунктом 1 статьи 160.2</w:t>
      </w:r>
      <w:r w:rsidR="005E2F37" w:rsidRPr="00257A34">
        <w:rPr>
          <w:color w:val="000000"/>
        </w:rPr>
        <w:t xml:space="preserve"> Бюджетного кодекса Российской Федерации</w:t>
      </w:r>
      <w:r w:rsidR="005E2F37">
        <w:rPr>
          <w:color w:val="000000"/>
        </w:rPr>
        <w:t>,</w:t>
      </w:r>
      <w:r w:rsidRPr="00C2237C">
        <w:rPr>
          <w:color w:val="000000"/>
        </w:rPr>
        <w:t xml:space="preserve"> Постановление</w:t>
      </w:r>
      <w:r w:rsidR="007A002A">
        <w:rPr>
          <w:color w:val="000000"/>
        </w:rPr>
        <w:t>м</w:t>
      </w:r>
      <w:r w:rsidRPr="00C2237C">
        <w:rPr>
          <w:color w:val="000000"/>
        </w:rPr>
        <w:t xml:space="preserve"> Правительства РФ от 23</w:t>
      </w:r>
      <w:r w:rsidR="007A002A">
        <w:rPr>
          <w:color w:val="000000"/>
        </w:rPr>
        <w:t xml:space="preserve"> июня </w:t>
      </w:r>
      <w:r w:rsidRPr="00C2237C">
        <w:rPr>
          <w:color w:val="000000"/>
        </w:rPr>
        <w:t>2016 № 574 «Об общих требованиях к методике прогнозирования поступлений доходов в бюджеты бюджетной системы Российской Федерации»,</w:t>
      </w:r>
      <w:r w:rsidR="00BA396F">
        <w:rPr>
          <w:color w:val="000000"/>
        </w:rPr>
        <w:t xml:space="preserve"> </w:t>
      </w:r>
      <w:hyperlink r:id="rId6" w:history="1">
        <w:r w:rsidR="007A002A" w:rsidRPr="007A002A">
          <w:rPr>
            <w:lang w:eastAsia="ru-RU"/>
          </w:rPr>
          <w:t>постановлением</w:t>
        </w:r>
      </w:hyperlink>
      <w:r w:rsidR="007A002A" w:rsidRPr="007A002A">
        <w:rPr>
          <w:lang w:eastAsia="ru-RU"/>
        </w:rPr>
        <w:t xml:space="preserve"> Правительства Российской Федерации от 26 мая 2016 года N 469 "Об общих требованиях </w:t>
      </w:r>
      <w:r w:rsidR="007A002A">
        <w:rPr>
          <w:lang w:eastAsia="ru-RU"/>
        </w:rPr>
        <w:t>к методике прогнозирования поступлений по источникам финансирования дефицита бюджета",</w:t>
      </w:r>
      <w:proofErr w:type="gramEnd"/>
    </w:p>
    <w:p w:rsidR="00930819" w:rsidRPr="00C2237C" w:rsidRDefault="00930819" w:rsidP="00930819">
      <w:pPr>
        <w:pStyle w:val="af"/>
        <w:spacing w:before="0" w:beforeAutospacing="0" w:after="0" w:afterAutospacing="0"/>
        <w:jc w:val="both"/>
        <w:rPr>
          <w:color w:val="000000"/>
        </w:rPr>
      </w:pPr>
    </w:p>
    <w:p w:rsidR="00726A0B" w:rsidRPr="00677760" w:rsidRDefault="00AD4007" w:rsidP="00726A0B">
      <w:pPr>
        <w:tabs>
          <w:tab w:val="left" w:pos="4820"/>
        </w:tabs>
        <w:ind w:right="-2" w:firstLine="709"/>
        <w:jc w:val="both"/>
      </w:pPr>
      <w:r>
        <w:t xml:space="preserve">1. </w:t>
      </w:r>
      <w:r w:rsidR="00726A0B">
        <w:t xml:space="preserve">Внести в </w:t>
      </w:r>
      <w:r w:rsidR="00726A0B" w:rsidRPr="00677760">
        <w:rPr>
          <w:color w:val="000000"/>
        </w:rPr>
        <w:t>постановление от 18</w:t>
      </w:r>
      <w:r w:rsidR="00726A0B">
        <w:rPr>
          <w:color w:val="000000"/>
        </w:rPr>
        <w:t xml:space="preserve"> июля </w:t>
      </w:r>
      <w:r w:rsidR="00726A0B" w:rsidRPr="00677760">
        <w:rPr>
          <w:color w:val="000000"/>
        </w:rPr>
        <w:t>2022 №</w:t>
      </w:r>
      <w:r w:rsidR="00726A0B">
        <w:rPr>
          <w:color w:val="000000"/>
        </w:rPr>
        <w:t xml:space="preserve"> 76</w:t>
      </w:r>
      <w:r w:rsidR="00726A0B" w:rsidRPr="00677760">
        <w:rPr>
          <w:color w:val="000000"/>
        </w:rPr>
        <w:t xml:space="preserve"> </w:t>
      </w:r>
      <w:r w:rsidR="00726A0B" w:rsidRPr="00677760">
        <w:t>Администраци</w:t>
      </w:r>
      <w:r w:rsidR="00726A0B">
        <w:t>и</w:t>
      </w:r>
      <w:r w:rsidR="00726A0B" w:rsidRPr="00677760">
        <w:t xml:space="preserve"> </w:t>
      </w:r>
      <w:r w:rsidR="00726A0B">
        <w:t>Ольгинского</w:t>
      </w:r>
      <w:r w:rsidR="00726A0B" w:rsidRPr="00677760">
        <w:t xml:space="preserve"> сельского поселения</w:t>
      </w:r>
      <w:r w:rsidR="00726A0B" w:rsidRPr="00677760">
        <w:rPr>
          <w:color w:val="000000"/>
        </w:rPr>
        <w:t xml:space="preserve"> </w:t>
      </w:r>
      <w:r w:rsidR="00726A0B">
        <w:rPr>
          <w:color w:val="000000"/>
        </w:rPr>
        <w:t>«</w:t>
      </w:r>
      <w:r w:rsidR="00726A0B" w:rsidRPr="00677760">
        <w:rPr>
          <w:color w:val="000000"/>
        </w:rPr>
        <w:t xml:space="preserve">Об  утверждении Методики прогнозирования поступлений </w:t>
      </w:r>
      <w:r w:rsidR="00726A0B" w:rsidRPr="00677760">
        <w:t xml:space="preserve">доходов в бюджет, поступлений по источникам финансирования дефицита бюджета, главным администратором которых является Администрация </w:t>
      </w:r>
      <w:r w:rsidR="00726A0B">
        <w:t>Ольгинского</w:t>
      </w:r>
      <w:r w:rsidR="00726A0B" w:rsidRPr="00677760">
        <w:t xml:space="preserve"> сельского поселения»</w:t>
      </w:r>
      <w:r w:rsidR="00726A0B">
        <w:t xml:space="preserve"> следующие изменения:</w:t>
      </w:r>
    </w:p>
    <w:p w:rsidR="00726A0B" w:rsidRDefault="00726A0B" w:rsidP="00726A0B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Приложение </w:t>
      </w:r>
      <w:r w:rsidRPr="00257A34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57A34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7A34">
        <w:rPr>
          <w:rFonts w:ascii="Times New Roman" w:hAnsi="Times New Roman" w:cs="Times New Roman"/>
          <w:sz w:val="24"/>
          <w:szCs w:val="24"/>
        </w:rPr>
        <w:t xml:space="preserve"> прогнозирован</w:t>
      </w:r>
      <w:r>
        <w:rPr>
          <w:rFonts w:ascii="Times New Roman" w:hAnsi="Times New Roman" w:cs="Times New Roman"/>
          <w:sz w:val="24"/>
          <w:szCs w:val="24"/>
        </w:rPr>
        <w:t>ия поступлений доходов в бюджет Ольгинского</w:t>
      </w:r>
      <w:r w:rsidRPr="00257A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</w:t>
      </w:r>
      <w:r w:rsidRPr="00257A34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Ольгинского </w:t>
      </w:r>
      <w:r w:rsidRPr="00257A34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области»</w:t>
      </w:r>
      <w:r w:rsidRPr="00257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257A34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57A34">
        <w:rPr>
          <w:rFonts w:ascii="Times New Roman" w:hAnsi="Times New Roman" w:cs="Times New Roman"/>
          <w:sz w:val="24"/>
          <w:szCs w:val="24"/>
        </w:rPr>
        <w:t>.</w:t>
      </w:r>
    </w:p>
    <w:p w:rsidR="00C1721C" w:rsidRDefault="00C1721C" w:rsidP="00C1721C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Приложение № 2 «</w:t>
      </w:r>
      <w:r w:rsidRPr="00181E29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1E29">
        <w:rPr>
          <w:rFonts w:ascii="Times New Roman" w:hAnsi="Times New Roman" w:cs="Times New Roman"/>
          <w:sz w:val="24"/>
          <w:szCs w:val="24"/>
        </w:rPr>
        <w:t xml:space="preserve"> прогнозирования поступления по источникам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Ольгинского</w:t>
      </w:r>
      <w:r w:rsidRPr="00181E29">
        <w:rPr>
          <w:rFonts w:ascii="Times New Roman" w:hAnsi="Times New Roman" w:cs="Times New Roman"/>
          <w:sz w:val="24"/>
          <w:szCs w:val="24"/>
        </w:rPr>
        <w:t xml:space="preserve"> сельского поселения, главным администратором которых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Ольгинского</w:t>
      </w:r>
      <w:r w:rsidRPr="00181E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Полтавского муниципального района Омской области»</w:t>
      </w:r>
      <w:r w:rsidRPr="00257A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257A34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A3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257A34">
        <w:rPr>
          <w:rFonts w:ascii="Times New Roman" w:hAnsi="Times New Roman" w:cs="Times New Roman"/>
          <w:sz w:val="24"/>
          <w:szCs w:val="24"/>
        </w:rPr>
        <w:t>.</w:t>
      </w:r>
    </w:p>
    <w:p w:rsidR="00C2237C" w:rsidRPr="00181E29" w:rsidRDefault="00C1721C" w:rsidP="00AD4007">
      <w:pPr>
        <w:suppressAutoHyphens w:val="0"/>
        <w:ind w:left="709"/>
        <w:jc w:val="both"/>
      </w:pPr>
      <w:r>
        <w:rPr>
          <w:color w:val="000000"/>
        </w:rPr>
        <w:t>2</w:t>
      </w:r>
      <w:r w:rsidR="00AD4007">
        <w:rPr>
          <w:color w:val="000000"/>
        </w:rPr>
        <w:t xml:space="preserve">. </w:t>
      </w:r>
      <w:proofErr w:type="gramStart"/>
      <w:r w:rsidR="00C2237C" w:rsidRPr="00AD4007">
        <w:rPr>
          <w:color w:val="000000"/>
        </w:rPr>
        <w:t>Контроль за</w:t>
      </w:r>
      <w:proofErr w:type="gramEnd"/>
      <w:r w:rsidR="00C2237C" w:rsidRPr="00AD4007">
        <w:rPr>
          <w:color w:val="000000"/>
        </w:rPr>
        <w:t xml:space="preserve"> исполнением </w:t>
      </w:r>
      <w:r w:rsidR="0039213E" w:rsidRPr="00AD4007">
        <w:rPr>
          <w:color w:val="000000"/>
        </w:rPr>
        <w:t>постановления</w:t>
      </w:r>
      <w:r w:rsidR="00C2237C" w:rsidRPr="00AD4007">
        <w:rPr>
          <w:color w:val="000000"/>
        </w:rPr>
        <w:t xml:space="preserve"> оставляю за собой</w:t>
      </w:r>
      <w:r w:rsidR="00C2237C">
        <w:rPr>
          <w:color w:val="000000"/>
        </w:rPr>
        <w:t>.</w:t>
      </w: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D537BE" w:rsidRDefault="00D537BE" w:rsidP="00A33291">
      <w:pPr>
        <w:jc w:val="both"/>
        <w:rPr>
          <w:sz w:val="28"/>
          <w:szCs w:val="28"/>
        </w:rPr>
      </w:pPr>
    </w:p>
    <w:p w:rsidR="00AF5F52" w:rsidRPr="007A5A3D" w:rsidRDefault="00D537BE" w:rsidP="00A25B6E">
      <w:r w:rsidRPr="00C2237C">
        <w:t>Глав</w:t>
      </w:r>
      <w:r w:rsidR="00BA396F">
        <w:t>ы</w:t>
      </w:r>
      <w:r w:rsidR="007A5A3D">
        <w:t xml:space="preserve"> </w:t>
      </w:r>
      <w:r w:rsidR="007C630F">
        <w:t>Ольгинского</w:t>
      </w:r>
      <w:r w:rsidR="00980248" w:rsidRPr="00C2237C">
        <w:t xml:space="preserve"> сельского поселения                </w:t>
      </w:r>
      <w:r w:rsidR="00B05955">
        <w:t xml:space="preserve">    </w:t>
      </w:r>
      <w:r w:rsidR="00AF5F52">
        <w:t xml:space="preserve">                    </w:t>
      </w:r>
      <w:r w:rsidR="00BA396F">
        <w:t xml:space="preserve">                   </w:t>
      </w:r>
      <w:r w:rsidR="007C630F">
        <w:t>В.В. Зызник</w:t>
      </w:r>
    </w:p>
    <w:p w:rsidR="00AF5F52" w:rsidRDefault="00AF5F52" w:rsidP="00A25B6E">
      <w:pPr>
        <w:rPr>
          <w:sz w:val="28"/>
          <w:szCs w:val="28"/>
        </w:rPr>
      </w:pPr>
    </w:p>
    <w:p w:rsidR="00AF5F52" w:rsidRDefault="00AF5F52" w:rsidP="00A25B6E">
      <w:pPr>
        <w:rPr>
          <w:sz w:val="28"/>
          <w:szCs w:val="28"/>
        </w:rPr>
      </w:pPr>
    </w:p>
    <w:p w:rsidR="00AF5F52" w:rsidRDefault="00AF5F52" w:rsidP="00A25B6E">
      <w:pPr>
        <w:rPr>
          <w:sz w:val="28"/>
          <w:szCs w:val="28"/>
        </w:rPr>
      </w:pPr>
    </w:p>
    <w:p w:rsidR="00105291" w:rsidRDefault="00105291" w:rsidP="00A25B6E">
      <w:pPr>
        <w:rPr>
          <w:sz w:val="28"/>
          <w:szCs w:val="28"/>
        </w:rPr>
      </w:pPr>
    </w:p>
    <w:p w:rsidR="000222B2" w:rsidRDefault="000222B2" w:rsidP="00A25B6E">
      <w:pPr>
        <w:rPr>
          <w:sz w:val="28"/>
          <w:szCs w:val="28"/>
        </w:rPr>
      </w:pPr>
    </w:p>
    <w:p w:rsidR="000222B2" w:rsidRDefault="000222B2" w:rsidP="000222B2">
      <w:pPr>
        <w:jc w:val="right"/>
        <w:sectPr w:rsidR="000222B2" w:rsidSect="00A76133">
          <w:pgSz w:w="11906" w:h="16838"/>
          <w:pgMar w:top="851" w:right="851" w:bottom="851" w:left="1418" w:header="720" w:footer="720" w:gutter="0"/>
          <w:cols w:space="720"/>
          <w:docGrid w:linePitch="360"/>
        </w:sectPr>
      </w:pPr>
    </w:p>
    <w:p w:rsidR="000222B2" w:rsidRPr="00B9667A" w:rsidRDefault="000222B2" w:rsidP="000222B2">
      <w:pPr>
        <w:jc w:val="right"/>
      </w:pPr>
      <w:r w:rsidRPr="00B9667A">
        <w:lastRenderedPageBreak/>
        <w:t>Приложение №1</w:t>
      </w:r>
    </w:p>
    <w:p w:rsidR="000222B2" w:rsidRPr="00B9667A" w:rsidRDefault="000222B2" w:rsidP="000222B2">
      <w:pPr>
        <w:jc w:val="right"/>
      </w:pPr>
      <w:r w:rsidRPr="00B9667A">
        <w:t>к постановлению администрации</w:t>
      </w:r>
    </w:p>
    <w:p w:rsidR="000222B2" w:rsidRPr="00B9667A" w:rsidRDefault="000222B2" w:rsidP="000222B2">
      <w:pPr>
        <w:jc w:val="right"/>
      </w:pPr>
      <w:r>
        <w:t>Ольгинского</w:t>
      </w:r>
      <w:r w:rsidRPr="00B9667A">
        <w:t xml:space="preserve"> сельского поселения </w:t>
      </w:r>
    </w:p>
    <w:p w:rsidR="000222B2" w:rsidRPr="00B9667A" w:rsidRDefault="000222B2" w:rsidP="000222B2">
      <w:pPr>
        <w:jc w:val="right"/>
      </w:pPr>
      <w:r w:rsidRPr="007C1D4D">
        <w:t xml:space="preserve">от  </w:t>
      </w:r>
      <w:r>
        <w:t>08</w:t>
      </w:r>
      <w:r w:rsidRPr="007C1D4D">
        <w:t>.08.2024 года №</w:t>
      </w:r>
      <w:r>
        <w:t xml:space="preserve"> 35</w:t>
      </w:r>
      <w:r w:rsidRPr="00B9667A">
        <w:t xml:space="preserve"> </w:t>
      </w:r>
    </w:p>
    <w:p w:rsidR="000222B2" w:rsidRPr="005D06D3" w:rsidRDefault="000222B2" w:rsidP="000222B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r w:rsidRPr="005D06D3">
        <w:t> </w:t>
      </w:r>
      <w:r w:rsidRPr="005D06D3">
        <w:br/>
        <w:t xml:space="preserve"> МЕТОДИКА </w:t>
      </w:r>
    </w:p>
    <w:p w:rsidR="000222B2" w:rsidRDefault="000222B2" w:rsidP="000222B2">
      <w:pPr>
        <w:pStyle w:val="3"/>
        <w:shd w:val="clear" w:color="auto" w:fill="auto"/>
        <w:spacing w:after="0" w:line="240" w:lineRule="auto"/>
        <w:ind w:left="20"/>
        <w:jc w:val="center"/>
      </w:pPr>
      <w:r w:rsidRPr="005D06D3">
        <w:rPr>
          <w:b/>
          <w:sz w:val="24"/>
          <w:szCs w:val="24"/>
        </w:rPr>
        <w:t xml:space="preserve">прогнозирования </w:t>
      </w:r>
      <w:r w:rsidRPr="005D06D3">
        <w:rPr>
          <w:b/>
          <w:spacing w:val="2"/>
          <w:sz w:val="24"/>
          <w:szCs w:val="24"/>
        </w:rPr>
        <w:t xml:space="preserve">поступлений доходов в бюджет </w:t>
      </w:r>
      <w:r>
        <w:rPr>
          <w:b/>
          <w:spacing w:val="2"/>
          <w:sz w:val="24"/>
          <w:szCs w:val="24"/>
        </w:rPr>
        <w:t>Ольгинского</w:t>
      </w:r>
      <w:r w:rsidRPr="005D06D3">
        <w:rPr>
          <w:b/>
          <w:spacing w:val="2"/>
          <w:sz w:val="24"/>
          <w:szCs w:val="24"/>
        </w:rPr>
        <w:t xml:space="preserve"> сельского поселения Полтавского муниципального района Омской области, главным администратором которых является Администрация </w:t>
      </w:r>
      <w:r>
        <w:rPr>
          <w:b/>
          <w:spacing w:val="2"/>
          <w:sz w:val="24"/>
          <w:szCs w:val="24"/>
        </w:rPr>
        <w:t>Ольгинского</w:t>
      </w:r>
      <w:r w:rsidRPr="005D06D3">
        <w:rPr>
          <w:b/>
          <w:spacing w:val="2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Pr="005D06D3">
        <w:rPr>
          <w:sz w:val="24"/>
          <w:szCs w:val="24"/>
        </w:rPr>
        <w:br/>
      </w:r>
    </w:p>
    <w:tbl>
      <w:tblPr>
        <w:tblStyle w:val="af2"/>
        <w:tblW w:w="14263" w:type="dxa"/>
        <w:tblInd w:w="20" w:type="dxa"/>
        <w:tblLayout w:type="fixed"/>
        <w:tblLook w:val="04A0"/>
      </w:tblPr>
      <w:tblGrid>
        <w:gridCol w:w="514"/>
        <w:gridCol w:w="567"/>
        <w:gridCol w:w="992"/>
        <w:gridCol w:w="1985"/>
        <w:gridCol w:w="1559"/>
        <w:gridCol w:w="1417"/>
        <w:gridCol w:w="2977"/>
        <w:gridCol w:w="1559"/>
        <w:gridCol w:w="2693"/>
      </w:tblGrid>
      <w:tr w:rsidR="000222B2" w:rsidRPr="00B9667A" w:rsidTr="00461E28">
        <w:tc>
          <w:tcPr>
            <w:tcW w:w="514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667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9667A">
              <w:rPr>
                <w:sz w:val="20"/>
                <w:szCs w:val="20"/>
              </w:rPr>
              <w:t>/</w:t>
            </w:r>
            <w:proofErr w:type="spellStart"/>
            <w:r w:rsidRPr="00B9667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9667A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9667A">
              <w:rPr>
                <w:sz w:val="20"/>
                <w:szCs w:val="20"/>
              </w:rPr>
              <w:t xml:space="preserve"> </w:t>
            </w:r>
            <w:proofErr w:type="spellStart"/>
            <w:r w:rsidRPr="00B9667A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нист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ратора</w:t>
            </w:r>
            <w:proofErr w:type="spellEnd"/>
            <w:r w:rsidRPr="00B9667A">
              <w:rPr>
                <w:sz w:val="20"/>
                <w:szCs w:val="20"/>
              </w:rPr>
              <w:t xml:space="preserve"> </w:t>
            </w:r>
            <w:proofErr w:type="spellStart"/>
            <w:r w:rsidRPr="00B9667A">
              <w:rPr>
                <w:sz w:val="20"/>
                <w:szCs w:val="20"/>
              </w:rPr>
              <w:t>дохо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(далее – КБК)</w:t>
            </w:r>
          </w:p>
        </w:tc>
        <w:tc>
          <w:tcPr>
            <w:tcW w:w="1559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41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297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559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2693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Описание показателей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E6D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E6D8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Ольгинского</w:t>
            </w:r>
            <w:r w:rsidRPr="000E6D8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E6D89">
              <w:rPr>
                <w:sz w:val="20"/>
                <w:szCs w:val="20"/>
              </w:rPr>
              <w:t>10804020010000110</w:t>
            </w:r>
          </w:p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0E6D89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0E6D89"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0E6D89"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977" w:type="dxa"/>
          </w:tcPr>
          <w:p w:rsidR="000222B2" w:rsidRPr="00A06E78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6E78">
              <w:rPr>
                <w:sz w:val="20"/>
                <w:szCs w:val="20"/>
              </w:rPr>
              <w:t>Пгп</w:t>
            </w:r>
            <w:proofErr w:type="spellEnd"/>
            <w:r w:rsidRPr="00A06E78">
              <w:rPr>
                <w:sz w:val="20"/>
                <w:szCs w:val="20"/>
              </w:rPr>
              <w:t xml:space="preserve"> = Q </w:t>
            </w:r>
            <w:proofErr w:type="spellStart"/>
            <w:r w:rsidRPr="00A06E78">
              <w:rPr>
                <w:sz w:val="20"/>
                <w:szCs w:val="20"/>
              </w:rPr>
              <w:t>x</w:t>
            </w:r>
            <w:proofErr w:type="spellEnd"/>
            <w:r w:rsidRPr="00A06E78">
              <w:rPr>
                <w:sz w:val="20"/>
                <w:szCs w:val="20"/>
              </w:rPr>
              <w:t xml:space="preserve"> R</w:t>
            </w:r>
          </w:p>
        </w:tc>
        <w:tc>
          <w:tcPr>
            <w:tcW w:w="1559" w:type="dxa"/>
          </w:tcPr>
          <w:p w:rsidR="000222B2" w:rsidRPr="00A06E78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6E78">
              <w:rPr>
                <w:sz w:val="20"/>
                <w:szCs w:val="20"/>
              </w:rPr>
              <w:t xml:space="preserve">Расчет предполагает применение единых подходов к прогнозированию поступления доходов в текущем финансовом году, очередном финансовом году и на </w:t>
            </w:r>
            <w:r w:rsidRPr="00A06E78">
              <w:rPr>
                <w:sz w:val="20"/>
                <w:szCs w:val="20"/>
              </w:rPr>
              <w:lastRenderedPageBreak/>
              <w:t>плановый период</w:t>
            </w:r>
          </w:p>
        </w:tc>
        <w:tc>
          <w:tcPr>
            <w:tcW w:w="2693" w:type="dxa"/>
          </w:tcPr>
          <w:p w:rsidR="000222B2" w:rsidRPr="00A06E78" w:rsidRDefault="000222B2" w:rsidP="00461E2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06E78">
              <w:lastRenderedPageBreak/>
              <w:t>Пгп</w:t>
            </w:r>
            <w:proofErr w:type="spellEnd"/>
            <w:r w:rsidRPr="00A06E78">
              <w:t xml:space="preserve"> - сумма государственной пошлины, прогнозируемая к поступлению;</w:t>
            </w:r>
          </w:p>
          <w:p w:rsidR="000222B2" w:rsidRPr="00A06E78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A06E78">
              <w:t xml:space="preserve">Q - количество ожидаемых обращений </w:t>
            </w:r>
            <w:r>
              <w:t>граждан</w:t>
            </w:r>
            <w:r w:rsidRPr="00A06E78">
              <w:t>;</w:t>
            </w:r>
          </w:p>
          <w:p w:rsidR="000222B2" w:rsidRPr="00A06E78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A06E78">
              <w:t xml:space="preserve">R - размер государственной пошлины, установленный </w:t>
            </w:r>
            <w:r w:rsidRPr="00A06E78">
              <w:lastRenderedPageBreak/>
              <w:t xml:space="preserve">Налоговым </w:t>
            </w:r>
            <w:hyperlink r:id="rId7" w:history="1">
              <w:r w:rsidRPr="00A06E78">
                <w:rPr>
                  <w:color w:val="0000FF"/>
                </w:rPr>
                <w:t>кодексом</w:t>
              </w:r>
            </w:hyperlink>
            <w:r w:rsidRPr="00A06E78">
              <w:t xml:space="preserve"> Российской Федерации в прогнозируемом периоде.</w:t>
            </w:r>
          </w:p>
          <w:p w:rsidR="000222B2" w:rsidRPr="00A06E78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A06E78">
              <w:t>Источники данных:</w:t>
            </w:r>
          </w:p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нотариальных действий администрации Ольгинского сельского поселения,</w:t>
            </w:r>
          </w:p>
          <w:p w:rsidR="000222B2" w:rsidRPr="00A06E78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бюджетной отчетности.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AC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AC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Ольгинского</w:t>
            </w:r>
            <w:r w:rsidRPr="008A1AC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ACF">
              <w:rPr>
                <w:sz w:val="20"/>
                <w:szCs w:val="20"/>
              </w:rPr>
              <w:t>11105025100000120</w:t>
            </w:r>
          </w:p>
        </w:tc>
        <w:tc>
          <w:tcPr>
            <w:tcW w:w="1559" w:type="dxa"/>
          </w:tcPr>
          <w:p w:rsidR="000222B2" w:rsidRPr="008A1ACF" w:rsidRDefault="000222B2" w:rsidP="00461E2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A1AC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</w:t>
            </w:r>
            <w:r w:rsidRPr="008A1ACF">
              <w:lastRenderedPageBreak/>
              <w:t>м земельных участков муниципальных бюджетных и автономных учреждений)</w:t>
            </w:r>
            <w:proofErr w:type="gramEnd"/>
          </w:p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977" w:type="dxa"/>
          </w:tcPr>
          <w:tbl>
            <w:tblPr>
              <w:tblW w:w="8503" w:type="dxa"/>
              <w:tblLayout w:type="fixed"/>
              <w:tblLook w:val="04A0"/>
            </w:tblPr>
            <w:tblGrid>
              <w:gridCol w:w="108"/>
              <w:gridCol w:w="2619"/>
              <w:gridCol w:w="284"/>
              <w:gridCol w:w="141"/>
              <w:gridCol w:w="142"/>
              <w:gridCol w:w="284"/>
              <w:gridCol w:w="236"/>
              <w:gridCol w:w="4689"/>
            </w:tblGrid>
            <w:tr w:rsidR="000222B2" w:rsidRPr="008A1ACF" w:rsidTr="00461E28">
              <w:trPr>
                <w:gridAfter w:val="5"/>
                <w:wAfter w:w="5492" w:type="dxa"/>
              </w:trPr>
              <w:tc>
                <w:tcPr>
                  <w:tcW w:w="2727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before="0" w:beforeAutospacing="0" w:after="0" w:afterAutospacing="0"/>
                    <w:ind w:left="-216" w:right="-2093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8065DF">
                    <w:rPr>
                      <w:noProof/>
                      <w:position w:val="-13"/>
                      <w:sz w:val="18"/>
                      <w:szCs w:val="18"/>
                    </w:rPr>
                    <w:drawing>
                      <wp:inline distT="0" distB="0" distL="0" distR="0">
                        <wp:extent cx="1685925" cy="310453"/>
                        <wp:effectExtent l="19050" t="0" r="0" b="0"/>
                        <wp:docPr id="7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2816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22B2" w:rsidRPr="008065DF" w:rsidRDefault="000222B2" w:rsidP="00461E28">
                  <w:pPr>
                    <w:ind w:left="-216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4" w:type="dxa"/>
                  <w:hideMark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ind w:hanging="108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c>
                <w:tcPr>
                  <w:tcW w:w="3152" w:type="dxa"/>
                  <w:gridSpan w:val="4"/>
                  <w:hideMark/>
                </w:tcPr>
                <w:p w:rsidR="000222B2" w:rsidRPr="008065DF" w:rsidRDefault="000222B2" w:rsidP="00461E28">
                  <w:pPr>
                    <w:pStyle w:val="af"/>
                    <w:spacing w:before="0" w:beforeAutospacing="0" w:after="0" w:afterAutospacing="0"/>
                    <w:ind w:right="-3794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8065DF">
                    <w:rPr>
                      <w:noProof/>
                      <w:position w:val="-13"/>
                      <w:sz w:val="18"/>
                      <w:szCs w:val="18"/>
                    </w:rPr>
                    <w:drawing>
                      <wp:inline distT="0" distB="0" distL="0" distR="0">
                        <wp:extent cx="1409700" cy="309006"/>
                        <wp:effectExtent l="0" t="0" r="0" b="0"/>
                        <wp:docPr id="8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3687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51" w:type="dxa"/>
                  <w:gridSpan w:val="4"/>
                </w:tcPr>
                <w:p w:rsidR="000222B2" w:rsidRPr="008065DF" w:rsidRDefault="000222B2" w:rsidP="00461E28">
                  <w:pPr>
                    <w:pStyle w:val="af"/>
                    <w:spacing w:before="0" w:beforeAutospacing="0" w:after="0" w:afterAutospacing="0"/>
                    <w:ind w:left="-391" w:hanging="142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22B2" w:rsidRPr="008A1ACF" w:rsidTr="00461E28">
              <w:trPr>
                <w:gridAfter w:val="1"/>
                <w:wAfter w:w="4689" w:type="dxa"/>
              </w:trPr>
              <w:tc>
                <w:tcPr>
                  <w:tcW w:w="3294" w:type="dxa"/>
                  <w:gridSpan w:val="5"/>
                </w:tcPr>
                <w:p w:rsidR="000222B2" w:rsidRPr="008065D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8065DF">
                    <w:rPr>
                      <w:noProof/>
                      <w:position w:val="-29"/>
                      <w:sz w:val="18"/>
                      <w:szCs w:val="18"/>
                    </w:rPr>
                    <w:drawing>
                      <wp:inline distT="0" distB="0" distL="0" distR="0">
                        <wp:extent cx="1200150" cy="520716"/>
                        <wp:effectExtent l="0" t="0" r="0" b="0"/>
                        <wp:docPr id="9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187" cy="519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0222B2" w:rsidRPr="008065D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rPr>
                <w:gridBefore w:val="1"/>
                <w:gridAfter w:val="5"/>
                <w:wBefore w:w="108" w:type="dxa"/>
                <w:wAfter w:w="5492" w:type="dxa"/>
                <w:cantSplit/>
                <w:trHeight w:val="1134"/>
              </w:trPr>
              <w:tc>
                <w:tcPr>
                  <w:tcW w:w="2903" w:type="dxa"/>
                  <w:gridSpan w:val="2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rPr>
                <w:gridBefore w:val="1"/>
                <w:gridAfter w:val="5"/>
                <w:wBefore w:w="108" w:type="dxa"/>
                <w:wAfter w:w="5492" w:type="dxa"/>
                <w:cantSplit/>
                <w:trHeight w:val="1134"/>
              </w:trPr>
              <w:tc>
                <w:tcPr>
                  <w:tcW w:w="2903" w:type="dxa"/>
                  <w:gridSpan w:val="2"/>
                  <w:hideMark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rPr>
                <w:gridBefore w:val="1"/>
                <w:gridAfter w:val="1"/>
                <w:wBefore w:w="108" w:type="dxa"/>
                <w:wAfter w:w="4689" w:type="dxa"/>
                <w:cantSplit/>
                <w:trHeight w:val="1134"/>
              </w:trPr>
              <w:tc>
                <w:tcPr>
                  <w:tcW w:w="2619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  <w:hideMark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4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tbl>
            <w:tblPr>
              <w:tblW w:w="3935" w:type="dxa"/>
              <w:tblLayout w:type="fixed"/>
              <w:tblLook w:val="04A0"/>
            </w:tblPr>
            <w:tblGrid>
              <w:gridCol w:w="216"/>
              <w:gridCol w:w="1377"/>
              <w:gridCol w:w="216"/>
              <w:gridCol w:w="384"/>
              <w:gridCol w:w="216"/>
              <w:gridCol w:w="623"/>
              <w:gridCol w:w="216"/>
              <w:gridCol w:w="188"/>
              <w:gridCol w:w="216"/>
              <w:gridCol w:w="67"/>
              <w:gridCol w:w="216"/>
            </w:tblGrid>
            <w:tr w:rsidR="000222B2" w:rsidRPr="008065DF" w:rsidTr="00461E28">
              <w:trPr>
                <w:gridAfter w:val="1"/>
                <w:wAfter w:w="216" w:type="dxa"/>
              </w:trPr>
              <w:tc>
                <w:tcPr>
                  <w:tcW w:w="1593" w:type="dxa"/>
                  <w:gridSpan w:val="2"/>
                </w:tcPr>
                <w:p w:rsidR="000222B2" w:rsidRPr="008065DF" w:rsidRDefault="000222B2" w:rsidP="00461E2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8065DF">
                    <w:rPr>
                      <w:sz w:val="18"/>
                      <w:szCs w:val="18"/>
                    </w:rPr>
                    <w:t>Прогноз доходов на каждый год планового периода определяется на уровне рассчитанных показателей на очередной финансовый год (с учетом показателя P на каждый год планового периода)</w:t>
                  </w:r>
                </w:p>
              </w:tc>
              <w:tc>
                <w:tcPr>
                  <w:tcW w:w="600" w:type="dxa"/>
                  <w:gridSpan w:val="2"/>
                  <w:hideMark/>
                </w:tcPr>
                <w:p w:rsidR="000222B2" w:rsidRPr="008065DF" w:rsidRDefault="000222B2" w:rsidP="00461E28">
                  <w:pPr>
                    <w:pStyle w:val="af"/>
                    <w:shd w:val="clear" w:color="auto" w:fill="FFFFFF"/>
                    <w:spacing w:line="240" w:lineRule="atLeast"/>
                    <w:jc w:val="center"/>
                    <w:rPr>
                      <w:sz w:val="18"/>
                      <w:szCs w:val="18"/>
                      <w:vertAlign w:val="subscript"/>
                      <w:lang w:eastAsia="en-US"/>
                    </w:rPr>
                  </w:pPr>
                </w:p>
              </w:tc>
              <w:tc>
                <w:tcPr>
                  <w:tcW w:w="839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4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22B2" w:rsidRPr="008065DF" w:rsidTr="00461E28">
              <w:trPr>
                <w:gridBefore w:val="1"/>
                <w:wBefore w:w="216" w:type="dxa"/>
              </w:trPr>
              <w:tc>
                <w:tcPr>
                  <w:tcW w:w="1593" w:type="dxa"/>
                  <w:gridSpan w:val="2"/>
                  <w:hideMark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00" w:type="dxa"/>
                  <w:gridSpan w:val="2"/>
                  <w:hideMark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39" w:type="dxa"/>
                  <w:gridSpan w:val="2"/>
                  <w:hideMark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4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222B2" w:rsidRPr="008065DF" w:rsidTr="00461E28">
              <w:trPr>
                <w:gridBefore w:val="1"/>
                <w:wBefore w:w="216" w:type="dxa"/>
              </w:trPr>
              <w:tc>
                <w:tcPr>
                  <w:tcW w:w="1593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00" w:type="dxa"/>
                  <w:gridSpan w:val="2"/>
                  <w:hideMark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839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4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:rsidR="000222B2" w:rsidRPr="008065D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065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АЗ</w:t>
            </w: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прогнозный объем поступлений доходов на текущий (очередной) финансовый год;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proofErr w:type="spell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договоры действующие, планируемые к заключению на дату составления прогноза;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С - размер арендной платы в месяц, установленный договором;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D - ожидаемый объем взыскания дебиторской задолженности прошлых лет;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прогнозируемая сумма поступлений в результате исполнения плана по вовлечению в хозяйственный оборот земельных участков в </w:t>
            </w:r>
            <w:r w:rsidRPr="008065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планируемом периоде;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КС - кадастровая стоимость земельного участка;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КФ - значение коэффициента, применяемого для расчета размера арендной платы;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договоры, планируемые к заключению в планируемом периоде, на земельные участки, согласно плану их вовлечения в хозяйственный оборот;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Ус - средний уровень собираемости (принимается </w:t>
            </w:r>
            <w:proofErr w:type="gram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равным</w:t>
            </w:r>
            <w:proofErr w:type="gram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1, если рассчитанный показатель больше 1);</w:t>
            </w:r>
          </w:p>
          <w:p w:rsidR="000222B2" w:rsidRPr="008065DF" w:rsidRDefault="000222B2" w:rsidP="00461E28">
            <w:pPr>
              <w:pStyle w:val="ConsPlusNormal"/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периодов (3 года, предшествующих текущему финансовому году);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сумма поступивших платежей в периоде;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Н - сумма начисленных платежей в периоде.</w:t>
            </w:r>
          </w:p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 xml:space="preserve">Источники данных: перечень действующих договоров; перечень договоров, планируемых к заключению (договоры на стадиях: согласования, подписания, государственной регистрации) на дату составления прогноза; план по вовлечению в хозяйственный оборот земельных участков; приказы Министерства имущественных отношений Омской области: об утверждении результатов определения кадастровой стоимости земельных участков, расположенных на территории Омской области, об установлении начальной цены предмета аукционов на право заключения договоров аренды земельных участков, находящихся в собственности Омской области; порядок </w:t>
            </w:r>
            <w:r w:rsidRPr="008065DF">
              <w:rPr>
                <w:sz w:val="18"/>
                <w:szCs w:val="18"/>
              </w:rPr>
              <w:lastRenderedPageBreak/>
              <w:t>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торгов; формы бюджетной отчетности..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AC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ACF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Ольгинского</w:t>
            </w:r>
            <w:r w:rsidRPr="008A1ACF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A1ACF">
              <w:rPr>
                <w:sz w:val="20"/>
                <w:szCs w:val="20"/>
              </w:rPr>
              <w:t>11105035100000120</w:t>
            </w:r>
          </w:p>
        </w:tc>
        <w:tc>
          <w:tcPr>
            <w:tcW w:w="1559" w:type="dxa"/>
          </w:tcPr>
          <w:p w:rsidR="000222B2" w:rsidRPr="008A1ACF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8A1AC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977" w:type="dxa"/>
          </w:tcPr>
          <w:tbl>
            <w:tblPr>
              <w:tblW w:w="2869" w:type="dxa"/>
              <w:tblLayout w:type="fixed"/>
              <w:tblLook w:val="04A0"/>
            </w:tblPr>
            <w:tblGrid>
              <w:gridCol w:w="108"/>
              <w:gridCol w:w="493"/>
              <w:gridCol w:w="283"/>
              <w:gridCol w:w="851"/>
              <w:gridCol w:w="425"/>
              <w:gridCol w:w="283"/>
              <w:gridCol w:w="426"/>
            </w:tblGrid>
            <w:tr w:rsidR="000222B2" w:rsidRPr="008A1ACF" w:rsidTr="00461E28">
              <w:trPr>
                <w:gridAfter w:val="1"/>
                <w:wAfter w:w="426" w:type="dxa"/>
              </w:trPr>
              <w:tc>
                <w:tcPr>
                  <w:tcW w:w="601" w:type="dxa"/>
                  <w:gridSpan w:val="2"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:rsidR="000222B2" w:rsidRPr="008A1ACF" w:rsidRDefault="000222B2" w:rsidP="00461E28">
                  <w:pPr>
                    <w:pStyle w:val="af"/>
                    <w:shd w:val="clear" w:color="auto" w:fill="FFFFFF"/>
                    <w:spacing w:line="240" w:lineRule="atLeast"/>
                    <w:ind w:left="-108" w:hanging="108"/>
                    <w:jc w:val="both"/>
                    <w:rPr>
                      <w:sz w:val="20"/>
                      <w:szCs w:val="20"/>
                      <w:vertAlign w:val="subscript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rPr>
                <w:gridAfter w:val="1"/>
                <w:wAfter w:w="426" w:type="dxa"/>
              </w:trPr>
              <w:tc>
                <w:tcPr>
                  <w:tcW w:w="2443" w:type="dxa"/>
                  <w:gridSpan w:val="6"/>
                  <w:hideMark/>
                </w:tcPr>
                <w:p w:rsidR="000222B2" w:rsidRPr="008A1ACF" w:rsidRDefault="000222B2" w:rsidP="00461E28">
                  <w:pPr>
                    <w:pStyle w:val="af"/>
                    <w:spacing w:line="240" w:lineRule="atLeast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c>
                <w:tcPr>
                  <w:tcW w:w="2869" w:type="dxa"/>
                  <w:gridSpan w:val="7"/>
                </w:tcPr>
                <w:p w:rsidR="000222B2" w:rsidRPr="008065DF" w:rsidRDefault="000222B2" w:rsidP="00461E28">
                  <w:pPr>
                    <w:pStyle w:val="ConsPlusNormal"/>
                    <w:ind w:left="-215" w:firstLine="1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222B2" w:rsidRPr="008065DF" w:rsidRDefault="000222B2" w:rsidP="00461E28">
                  <w:pPr>
                    <w:pStyle w:val="ConsPlusNormal"/>
                    <w:ind w:left="-215" w:firstLine="1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65DF">
                    <w:rPr>
                      <w:rFonts w:ascii="Times New Roman" w:hAnsi="Times New Roman" w:cs="Times New Roman"/>
                      <w:noProof/>
                      <w:position w:val="-14"/>
                      <w:sz w:val="18"/>
                      <w:szCs w:val="18"/>
                    </w:rPr>
                    <w:drawing>
                      <wp:inline distT="0" distB="0" distL="0" distR="0">
                        <wp:extent cx="1733550" cy="314325"/>
                        <wp:effectExtent l="19050" t="0" r="0" b="0"/>
                        <wp:docPr id="10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065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22B2" w:rsidRPr="008065DF" w:rsidRDefault="000222B2" w:rsidP="00461E28">
                  <w:pPr>
                    <w:pStyle w:val="ConsPlusNormal"/>
                    <w:ind w:left="-215" w:firstLine="1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222B2" w:rsidRPr="008A1ACF" w:rsidTr="00461E28">
              <w:trPr>
                <w:gridBefore w:val="1"/>
                <w:gridAfter w:val="1"/>
                <w:wBefore w:w="108" w:type="dxa"/>
                <w:wAfter w:w="426" w:type="dxa"/>
                <w:cantSplit/>
                <w:trHeight w:val="1134"/>
              </w:trPr>
              <w:tc>
                <w:tcPr>
                  <w:tcW w:w="2335" w:type="dxa"/>
                  <w:gridSpan w:val="5"/>
                </w:tcPr>
                <w:p w:rsidR="000222B2" w:rsidRPr="008065DF" w:rsidRDefault="000222B2" w:rsidP="00461E28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222B2" w:rsidRPr="008065DF" w:rsidRDefault="000222B2" w:rsidP="00461E2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65DF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282700" cy="519430"/>
                        <wp:effectExtent l="0" t="0" r="0" b="0"/>
                        <wp:docPr id="14" name="Консультант Плюс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 preferRelativeResize="0"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700" cy="519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22B2" w:rsidRPr="008A1ACF" w:rsidTr="00461E28">
              <w:trPr>
                <w:gridBefore w:val="1"/>
                <w:gridAfter w:val="1"/>
                <w:wBefore w:w="108" w:type="dxa"/>
                <w:wAfter w:w="426" w:type="dxa"/>
                <w:cantSplit/>
                <w:trHeight w:val="1134"/>
              </w:trPr>
              <w:tc>
                <w:tcPr>
                  <w:tcW w:w="493" w:type="dxa"/>
                  <w:hideMark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425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22B2" w:rsidRPr="008A1ACF" w:rsidTr="00461E28">
              <w:trPr>
                <w:gridBefore w:val="1"/>
                <w:gridAfter w:val="1"/>
                <w:wBefore w:w="108" w:type="dxa"/>
                <w:wAfter w:w="426" w:type="dxa"/>
                <w:cantSplit/>
                <w:trHeight w:val="1134"/>
              </w:trPr>
              <w:tc>
                <w:tcPr>
                  <w:tcW w:w="493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hideMark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851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0222B2" w:rsidRPr="008A1ACF" w:rsidRDefault="000222B2" w:rsidP="00461E28">
                  <w:pPr>
                    <w:pStyle w:val="af"/>
                    <w:spacing w:before="0" w:beforeAutospacing="0" w:after="0" w:afterAutospacing="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 xml:space="preserve">Прогноз доходов на каждый год планового периода определяется на уровне рассчитанных показателей на очередной финансовый год </w:t>
            </w:r>
          </w:p>
        </w:tc>
        <w:tc>
          <w:tcPr>
            <w:tcW w:w="2693" w:type="dxa"/>
          </w:tcPr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065D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прогнозный объем поступлений доходов на текущий (очередной) финансовый год;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proofErr w:type="spell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соглашения действующие, планируемые к заключению на дату составления прогноза;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С - размер платы за право ограниченного пользования в месяц, установленный соглашением;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D - ожидаемый объем взыскания дебиторской задолженности прошлых лет;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Ус - средний уровень собираемости (принимается </w:t>
            </w:r>
            <w:proofErr w:type="gram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равным</w:t>
            </w:r>
            <w:proofErr w:type="gram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1, если рассчитанный показатель больше 1);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proofErr w:type="spell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периодов (3 года, предшествующих текущему финансовому году);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065DF">
              <w:rPr>
                <w:rFonts w:ascii="Times New Roman" w:hAnsi="Times New Roman" w:cs="Times New Roman"/>
                <w:sz w:val="18"/>
                <w:szCs w:val="18"/>
              </w:rPr>
              <w:t xml:space="preserve"> - сумма поступивших платежей в периоде;</w:t>
            </w:r>
          </w:p>
          <w:p w:rsidR="000222B2" w:rsidRPr="008065DF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8065DF">
              <w:rPr>
                <w:rFonts w:ascii="Times New Roman" w:hAnsi="Times New Roman" w:cs="Times New Roman"/>
                <w:sz w:val="18"/>
                <w:szCs w:val="18"/>
              </w:rPr>
              <w:t>Н - сумма начисленных платежей в периоде.</w:t>
            </w:r>
          </w:p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 xml:space="preserve">Источники данных: перечень действующих соглашений; перечень соглашений, </w:t>
            </w:r>
            <w:r w:rsidRPr="008065DF">
              <w:rPr>
                <w:sz w:val="18"/>
                <w:szCs w:val="18"/>
              </w:rPr>
              <w:lastRenderedPageBreak/>
              <w:t>планируемых к заключению (соглашения на стадиях: согласования, подписания, государственной регистрации) на дату составления прогноза; формы бюджетной отчетности.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11109080100000120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B32C2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0222B2" w:rsidRDefault="000222B2" w:rsidP="00461E28">
            <w:pPr>
              <w:spacing w:beforeAutospacing="1" w:afterAutospacing="1"/>
            </w:pPr>
            <w:r>
              <w:t>Прямой расчет</w:t>
            </w:r>
          </w:p>
        </w:tc>
        <w:tc>
          <w:tcPr>
            <w:tcW w:w="2977" w:type="dxa"/>
          </w:tcPr>
          <w:p w:rsidR="000222B2" w:rsidRDefault="000222B2" w:rsidP="00461E28">
            <w:pPr>
              <w:jc w:val="both"/>
            </w:pPr>
            <w:r>
              <w:t xml:space="preserve">А =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proofErr w:type="spellStart"/>
            <w:r>
              <w:t>Sинф</w:t>
            </w:r>
            <w:proofErr w:type="spell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К1 </w:t>
            </w:r>
            <w:proofErr w:type="spellStart"/>
            <w:r>
              <w:t>х</w:t>
            </w:r>
            <w:proofErr w:type="spellEnd"/>
            <w:r>
              <w:t xml:space="preserve"> К2+З</w:t>
            </w:r>
          </w:p>
        </w:tc>
        <w:tc>
          <w:tcPr>
            <w:tcW w:w="1559" w:type="dxa"/>
          </w:tcPr>
          <w:p w:rsidR="000222B2" w:rsidRDefault="000222B2" w:rsidP="00461E28">
            <w:pPr>
              <w:spacing w:beforeAutospacing="1" w:afterAutospacing="1"/>
            </w:pPr>
            <w: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693" w:type="dxa"/>
          </w:tcPr>
          <w:p w:rsidR="000222B2" w:rsidRDefault="000222B2" w:rsidP="00461E28">
            <w:pPr>
              <w:jc w:val="both"/>
            </w:pPr>
            <w:r>
              <w:t>А – ежемесячная плата по Договору, рублей;</w:t>
            </w:r>
          </w:p>
          <w:p w:rsidR="000222B2" w:rsidRDefault="000222B2" w:rsidP="00461E28">
            <w:pPr>
              <w:jc w:val="both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базовая ставка;</w:t>
            </w:r>
          </w:p>
          <w:p w:rsidR="000222B2" w:rsidRDefault="000222B2" w:rsidP="00461E28">
            <w:pPr>
              <w:jc w:val="both"/>
            </w:pPr>
            <w:proofErr w:type="spellStart"/>
            <w:proofErr w:type="gramStart"/>
            <w:r>
              <w:t>S</w:t>
            </w:r>
            <w:proofErr w:type="gramEnd"/>
            <w:r>
              <w:t>инф</w:t>
            </w:r>
            <w:proofErr w:type="spellEnd"/>
            <w:r>
              <w:t xml:space="preserve"> – площадь информационного поля рекламной конструкции, кв.м.;</w:t>
            </w:r>
          </w:p>
          <w:p w:rsidR="000222B2" w:rsidRDefault="000222B2" w:rsidP="00461E28">
            <w:pPr>
              <w:jc w:val="both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– коэффициент, учитывающий площадь информационного поля рекламной конструкции;</w:t>
            </w:r>
          </w:p>
          <w:p w:rsidR="000222B2" w:rsidRDefault="000222B2" w:rsidP="00461E28">
            <w:pPr>
              <w:jc w:val="both"/>
            </w:pPr>
            <w:r>
              <w:t>К</w:t>
            </w:r>
            <w:proofErr w:type="gramStart"/>
            <w:r>
              <w:t>2</w:t>
            </w:r>
            <w:proofErr w:type="gramEnd"/>
            <w:r>
              <w:t xml:space="preserve"> – коэффициент, учитывающий тип рекламной конструкции.</w:t>
            </w:r>
          </w:p>
          <w:p w:rsidR="000222B2" w:rsidRDefault="000222B2" w:rsidP="00461E28">
            <w:pPr>
              <w:jc w:val="both"/>
            </w:pPr>
            <w:proofErr w:type="gramStart"/>
            <w:r>
              <w:t>З</w:t>
            </w:r>
            <w:proofErr w:type="gramEnd"/>
            <w:r>
              <w:t xml:space="preserve"> - прогнозируемое погашение задолженности (определяется в процентах от суммы задолженности, прогнозируемой по состоянию на 1 января очередного финансового года</w:t>
            </w:r>
          </w:p>
          <w:p w:rsidR="000222B2" w:rsidRDefault="000222B2" w:rsidP="00461E28">
            <w:pPr>
              <w:jc w:val="both"/>
            </w:pPr>
          </w:p>
          <w:p w:rsidR="000222B2" w:rsidRDefault="000222B2" w:rsidP="00461E28">
            <w:pPr>
              <w:jc w:val="both"/>
            </w:pPr>
            <w:r>
              <w:t xml:space="preserve"> Значение базовой ставки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устанавливается равной </w:t>
            </w:r>
            <w:r>
              <w:lastRenderedPageBreak/>
              <w:t>50 рублям.</w:t>
            </w:r>
          </w:p>
          <w:p w:rsidR="000222B2" w:rsidRDefault="000222B2" w:rsidP="00461E28">
            <w:pPr>
              <w:jc w:val="both"/>
            </w:pPr>
            <w:r>
              <w:t>Источники данных: соглашения, заключенные с пользователями, формы бюджетной отчетности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DB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Ольгинского</w:t>
            </w:r>
            <w:r w:rsidRPr="00EC7DB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8A1AC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11301995100000130</w:t>
            </w:r>
          </w:p>
        </w:tc>
        <w:tc>
          <w:tcPr>
            <w:tcW w:w="1559" w:type="dxa"/>
          </w:tcPr>
          <w:p w:rsidR="000222B2" w:rsidRPr="00783B69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3B69">
              <w:rPr>
                <w:bCs/>
                <w:color w:val="000000"/>
                <w:sz w:val="18"/>
                <w:szCs w:val="18"/>
                <w:shd w:val="clear" w:color="auto" w:fill="FFFFFF"/>
              </w:rPr>
              <w:t>Доходы от оказания платных услуг (работ)</w:t>
            </w:r>
          </w:p>
        </w:tc>
        <w:tc>
          <w:tcPr>
            <w:tcW w:w="1417" w:type="dxa"/>
          </w:tcPr>
          <w:p w:rsidR="000222B2" w:rsidRPr="00783B6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  <w:r w:rsidRPr="00783B69">
              <w:rPr>
                <w:color w:val="auto"/>
                <w:sz w:val="18"/>
                <w:szCs w:val="18"/>
              </w:rPr>
              <w:t>Прямой расчет</w:t>
            </w:r>
          </w:p>
        </w:tc>
        <w:tc>
          <w:tcPr>
            <w:tcW w:w="2977" w:type="dxa"/>
          </w:tcPr>
          <w:p w:rsidR="000222B2" w:rsidRPr="00783B69" w:rsidRDefault="000222B2" w:rsidP="00461E28">
            <w:pPr>
              <w:jc w:val="center"/>
              <w:rPr>
                <w:sz w:val="18"/>
                <w:szCs w:val="18"/>
              </w:rPr>
            </w:pPr>
          </w:p>
          <w:p w:rsidR="000222B2" w:rsidRPr="00783B69" w:rsidRDefault="000222B2" w:rsidP="00461E28">
            <w:pPr>
              <w:jc w:val="center"/>
              <w:rPr>
                <w:i/>
                <w:sz w:val="18"/>
                <w:szCs w:val="18"/>
              </w:rPr>
            </w:pPr>
            <m:oMath>
              <m:r>
                <w:rPr>
                  <w:rFonts w:ascii="Cambria Math"/>
                  <w:sz w:val="18"/>
                  <w:szCs w:val="18"/>
                </w:rPr>
                <m:t>Дпу</m:t>
              </m:r>
              <m:r>
                <w:rPr>
                  <w:rFonts w:ascii="Cambria Math"/>
                  <w:sz w:val="18"/>
                  <w:szCs w:val="18"/>
                </w:rPr>
                <m:t>=</m:t>
              </m:r>
              <m:r>
                <w:rPr>
                  <w:rFonts w:ascii="Cambria Math"/>
                  <w:sz w:val="18"/>
                  <w:szCs w:val="18"/>
                </w:rPr>
                <m:t>Кпу</m:t>
              </m:r>
              <m:r>
                <w:rPr>
                  <w:rFonts w:ascii="Cambria Math" w:hAnsi="Cambria Math"/>
                  <w:sz w:val="18"/>
                  <w:szCs w:val="18"/>
                </w:rPr>
                <m:t>*</m:t>
              </m:r>
              <m:r>
                <w:rPr>
                  <w:rFonts w:ascii="Cambria Math"/>
                  <w:sz w:val="18"/>
                  <w:szCs w:val="18"/>
                </w:rPr>
                <m:t>Ст</m:t>
              </m:r>
            </m:oMath>
            <w:r w:rsidRPr="00783B69">
              <w:rPr>
                <w:i/>
                <w:sz w:val="18"/>
                <w:szCs w:val="18"/>
              </w:rPr>
              <w:t>+</w:t>
            </w:r>
            <w:proofErr w:type="gramStart"/>
            <w:r w:rsidRPr="00783B69">
              <w:rPr>
                <w:sz w:val="18"/>
                <w:szCs w:val="18"/>
              </w:rPr>
              <w:t>З</w:t>
            </w:r>
            <w:proofErr w:type="gramEnd"/>
          </w:p>
        </w:tc>
        <w:tc>
          <w:tcPr>
            <w:tcW w:w="1559" w:type="dxa"/>
          </w:tcPr>
          <w:p w:rsidR="000222B2" w:rsidRPr="00783B69" w:rsidRDefault="000222B2" w:rsidP="00461E28">
            <w:pPr>
              <w:spacing w:beforeAutospacing="1" w:afterAutospacing="1"/>
              <w:rPr>
                <w:sz w:val="18"/>
                <w:szCs w:val="18"/>
              </w:rPr>
            </w:pPr>
            <w:r w:rsidRPr="00783B69">
              <w:rPr>
                <w:sz w:val="18"/>
                <w:szCs w:val="18"/>
              </w:rPr>
              <w:t>Расчет объема поступлений производится  исходя из количества планируемых платных услуг и их стоимости установленной органами местного самоуправления в текущем финансовом году, на очередной финансовый год и на плановый период</w:t>
            </w:r>
          </w:p>
        </w:tc>
        <w:tc>
          <w:tcPr>
            <w:tcW w:w="2693" w:type="dxa"/>
          </w:tcPr>
          <w:p w:rsidR="000222B2" w:rsidRPr="00783B69" w:rsidRDefault="000222B2" w:rsidP="00461E28">
            <w:pPr>
              <w:jc w:val="both"/>
              <w:rPr>
                <w:sz w:val="18"/>
                <w:szCs w:val="18"/>
              </w:rPr>
            </w:pPr>
            <w:r w:rsidRPr="00783B69">
              <w:rPr>
                <w:sz w:val="18"/>
                <w:szCs w:val="18"/>
              </w:rPr>
              <w:t xml:space="preserve"> </w:t>
            </w:r>
            <w:proofErr w:type="spellStart"/>
            <w:r w:rsidRPr="00783B69">
              <w:rPr>
                <w:sz w:val="18"/>
                <w:szCs w:val="18"/>
              </w:rPr>
              <w:t>Дп</w:t>
            </w:r>
            <w:proofErr w:type="gramStart"/>
            <w:r w:rsidRPr="00783B69">
              <w:rPr>
                <w:sz w:val="18"/>
                <w:szCs w:val="18"/>
              </w:rPr>
              <w:t>у</w:t>
            </w:r>
            <w:proofErr w:type="spellEnd"/>
            <w:r w:rsidRPr="00783B69">
              <w:rPr>
                <w:sz w:val="18"/>
                <w:szCs w:val="18"/>
              </w:rPr>
              <w:t>-</w:t>
            </w:r>
            <w:proofErr w:type="gramEnd"/>
            <w:r w:rsidRPr="00783B69">
              <w:rPr>
                <w:sz w:val="18"/>
                <w:szCs w:val="18"/>
              </w:rPr>
              <w:t xml:space="preserve">  доходы от оказания платных услуг</w:t>
            </w:r>
          </w:p>
          <w:p w:rsidR="000222B2" w:rsidRPr="00783B69" w:rsidRDefault="000222B2" w:rsidP="00461E28">
            <w:pPr>
              <w:jc w:val="both"/>
              <w:rPr>
                <w:sz w:val="18"/>
                <w:szCs w:val="18"/>
              </w:rPr>
            </w:pPr>
            <w:r w:rsidRPr="00783B69">
              <w:rPr>
                <w:sz w:val="18"/>
                <w:szCs w:val="18"/>
              </w:rPr>
              <w:t xml:space="preserve"> </w:t>
            </w:r>
            <w:proofErr w:type="spellStart"/>
            <w:r w:rsidRPr="00783B69">
              <w:rPr>
                <w:sz w:val="18"/>
                <w:szCs w:val="18"/>
              </w:rPr>
              <w:t>Кп</w:t>
            </w:r>
            <w:proofErr w:type="gramStart"/>
            <w:r w:rsidRPr="00783B69">
              <w:rPr>
                <w:sz w:val="18"/>
                <w:szCs w:val="18"/>
              </w:rPr>
              <w:t>у</w:t>
            </w:r>
            <w:proofErr w:type="spellEnd"/>
            <w:r w:rsidRPr="00783B69">
              <w:rPr>
                <w:sz w:val="18"/>
                <w:szCs w:val="18"/>
              </w:rPr>
              <w:t>-</w:t>
            </w:r>
            <w:proofErr w:type="gramEnd"/>
            <w:r w:rsidRPr="00783B69">
              <w:rPr>
                <w:sz w:val="18"/>
                <w:szCs w:val="18"/>
              </w:rPr>
              <w:t xml:space="preserve"> количество прогнозируемых платных услуг</w:t>
            </w:r>
          </w:p>
          <w:p w:rsidR="000222B2" w:rsidRPr="00783B69" w:rsidRDefault="000222B2" w:rsidP="00461E28">
            <w:pPr>
              <w:jc w:val="both"/>
              <w:rPr>
                <w:sz w:val="18"/>
                <w:szCs w:val="18"/>
              </w:rPr>
            </w:pPr>
            <w:r w:rsidRPr="00783B69">
              <w:rPr>
                <w:sz w:val="18"/>
                <w:szCs w:val="18"/>
              </w:rPr>
              <w:t xml:space="preserve"> </w:t>
            </w:r>
            <w:proofErr w:type="spellStart"/>
            <w:r w:rsidRPr="00783B69">
              <w:rPr>
                <w:sz w:val="18"/>
                <w:szCs w:val="18"/>
              </w:rPr>
              <w:t>С</w:t>
            </w:r>
            <w:proofErr w:type="gramStart"/>
            <w:r w:rsidRPr="00783B69">
              <w:rPr>
                <w:sz w:val="18"/>
                <w:szCs w:val="18"/>
              </w:rPr>
              <w:t>т</w:t>
            </w:r>
            <w:proofErr w:type="spellEnd"/>
            <w:r w:rsidRPr="00783B69">
              <w:rPr>
                <w:sz w:val="18"/>
                <w:szCs w:val="18"/>
              </w:rPr>
              <w:t>-</w:t>
            </w:r>
            <w:proofErr w:type="gramEnd"/>
            <w:r w:rsidRPr="00783B69">
              <w:rPr>
                <w:sz w:val="18"/>
                <w:szCs w:val="18"/>
              </w:rPr>
              <w:t xml:space="preserve"> стоимость услуг установленная органами местного самоуправления</w:t>
            </w:r>
          </w:p>
          <w:p w:rsidR="000222B2" w:rsidRPr="00783B69" w:rsidRDefault="000222B2" w:rsidP="00461E28">
            <w:pPr>
              <w:jc w:val="both"/>
              <w:rPr>
                <w:sz w:val="18"/>
                <w:szCs w:val="18"/>
              </w:rPr>
            </w:pPr>
            <w:proofErr w:type="gramStart"/>
            <w:r w:rsidRPr="00783B69">
              <w:rPr>
                <w:sz w:val="18"/>
                <w:szCs w:val="18"/>
              </w:rPr>
              <w:t>З</w:t>
            </w:r>
            <w:proofErr w:type="gramEnd"/>
            <w:r w:rsidRPr="00783B69">
              <w:rPr>
                <w:sz w:val="18"/>
                <w:szCs w:val="18"/>
              </w:rPr>
              <w:t xml:space="preserve"> - прогнозируемое погашение задолженности (определяется в процентах от суммы задолженности, прогнозируемой по состоянию на 1 января очередного финансового года</w:t>
            </w:r>
          </w:p>
          <w:p w:rsidR="000222B2" w:rsidRPr="00783B69" w:rsidRDefault="000222B2" w:rsidP="00461E28">
            <w:pPr>
              <w:jc w:val="both"/>
              <w:rPr>
                <w:sz w:val="18"/>
                <w:szCs w:val="18"/>
              </w:rPr>
            </w:pPr>
          </w:p>
          <w:p w:rsidR="000222B2" w:rsidRPr="00783B69" w:rsidRDefault="000222B2" w:rsidP="00461E28">
            <w:pPr>
              <w:jc w:val="both"/>
              <w:rPr>
                <w:sz w:val="18"/>
                <w:szCs w:val="18"/>
              </w:rPr>
            </w:pPr>
            <w:r w:rsidRPr="00783B69">
              <w:rPr>
                <w:sz w:val="18"/>
                <w:szCs w:val="18"/>
              </w:rPr>
              <w:t xml:space="preserve">Источник данных </w:t>
            </w:r>
            <w:proofErr w:type="gramStart"/>
            <w:r w:rsidRPr="00783B69">
              <w:rPr>
                <w:sz w:val="18"/>
                <w:szCs w:val="18"/>
              </w:rPr>
              <w:t>:п</w:t>
            </w:r>
            <w:proofErr w:type="gramEnd"/>
            <w:r w:rsidRPr="00783B69">
              <w:rPr>
                <w:sz w:val="18"/>
                <w:szCs w:val="18"/>
              </w:rPr>
              <w:t xml:space="preserve">оказатели бухгалтерского учета </w:t>
            </w:r>
          </w:p>
          <w:p w:rsidR="000222B2" w:rsidRPr="00783B69" w:rsidRDefault="000222B2" w:rsidP="00461E28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DB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Ольгинского</w:t>
            </w:r>
            <w:r w:rsidRPr="00EC7DB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DBD">
              <w:rPr>
                <w:sz w:val="20"/>
                <w:szCs w:val="20"/>
              </w:rPr>
              <w:t>11302065100000130</w:t>
            </w:r>
          </w:p>
        </w:tc>
        <w:tc>
          <w:tcPr>
            <w:tcW w:w="1559" w:type="dxa"/>
          </w:tcPr>
          <w:p w:rsidR="000222B2" w:rsidRPr="00EC7DBD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EC7DB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977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C7DBD">
              <w:rPr>
                <w:sz w:val="20"/>
                <w:szCs w:val="20"/>
                <w:lang w:eastAsia="en-US"/>
              </w:rPr>
              <w:t>Пвз</w:t>
            </w:r>
            <w:proofErr w:type="spellEnd"/>
            <w:r w:rsidRPr="00EC7DBD">
              <w:rPr>
                <w:sz w:val="20"/>
                <w:szCs w:val="20"/>
                <w:lang w:eastAsia="en-US"/>
              </w:rPr>
              <w:t xml:space="preserve"> = ∑(Р</w:t>
            </w:r>
            <w:proofErr w:type="spellStart"/>
            <w:r w:rsidRPr="00EC7DBD">
              <w:rPr>
                <w:sz w:val="20"/>
                <w:szCs w:val="20"/>
                <w:lang w:val="en-US" w:eastAsia="en-US"/>
              </w:rPr>
              <w:t>i</w:t>
            </w:r>
            <w:r w:rsidRPr="00EC7DBD">
              <w:rPr>
                <w:sz w:val="20"/>
                <w:szCs w:val="20"/>
                <w:lang w:eastAsia="en-US"/>
              </w:rPr>
              <w:t>вз</w:t>
            </w:r>
            <w:proofErr w:type="spellEnd"/>
            <w:r w:rsidRPr="00EC7DB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7DBD">
              <w:rPr>
                <w:sz w:val="20"/>
                <w:szCs w:val="20"/>
              </w:rPr>
              <w:t>х</w:t>
            </w:r>
            <w:proofErr w:type="spellEnd"/>
            <w:r w:rsidRPr="00EC7DBD">
              <w:rPr>
                <w:sz w:val="20"/>
                <w:szCs w:val="20"/>
              </w:rPr>
              <w:t xml:space="preserve"> Км) </w:t>
            </w:r>
            <w:proofErr w:type="spellStart"/>
            <w:r w:rsidRPr="00EC7DBD">
              <w:rPr>
                <w:sz w:val="20"/>
                <w:szCs w:val="20"/>
              </w:rPr>
              <w:t>х</w:t>
            </w:r>
            <w:proofErr w:type="spellEnd"/>
            <w:r w:rsidRPr="00EC7DBD">
              <w:rPr>
                <w:sz w:val="20"/>
                <w:szCs w:val="20"/>
              </w:rPr>
              <w:t xml:space="preserve"> </w:t>
            </w:r>
            <w:proofErr w:type="spellStart"/>
            <w:r w:rsidRPr="00EC7DBD">
              <w:rPr>
                <w:sz w:val="20"/>
                <w:szCs w:val="20"/>
              </w:rPr>
              <w:t>Ксобир</w:t>
            </w:r>
            <w:proofErr w:type="spellEnd"/>
            <w:r w:rsidRPr="00EC7DBD">
              <w:rPr>
                <w:sz w:val="20"/>
                <w:szCs w:val="20"/>
              </w:rPr>
              <w:t xml:space="preserve"> + </w:t>
            </w:r>
            <w:proofErr w:type="gramStart"/>
            <w:r w:rsidRPr="00EC7DBD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59" w:type="dxa"/>
          </w:tcPr>
          <w:p w:rsidR="000222B2" w:rsidRPr="00903E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03ED9">
              <w:rPr>
                <w:sz w:val="20"/>
                <w:szCs w:val="20"/>
              </w:rPr>
              <w:t>При расчете прогнозных показателей, прогнозируемая на текущий год сумма поступлений в бюджет (</w:t>
            </w:r>
            <w:proofErr w:type="spellStart"/>
            <w:r w:rsidRPr="00903ED9">
              <w:rPr>
                <w:sz w:val="20"/>
                <w:szCs w:val="20"/>
              </w:rPr>
              <w:t>Пвз</w:t>
            </w:r>
            <w:proofErr w:type="spellEnd"/>
            <w:r w:rsidRPr="00903ED9">
              <w:rPr>
                <w:sz w:val="20"/>
                <w:szCs w:val="20"/>
              </w:rPr>
              <w:t xml:space="preserve">), рассчитанная в соответствии с настоящей Методикой, индексируется на величину уровня инфляции, установленную </w:t>
            </w:r>
            <w:r w:rsidRPr="00903ED9">
              <w:rPr>
                <w:sz w:val="20"/>
                <w:szCs w:val="20"/>
              </w:rPr>
              <w:lastRenderedPageBreak/>
              <w:t>в федеральном законе о федеральном бюджете.</w:t>
            </w:r>
          </w:p>
          <w:p w:rsidR="000222B2" w:rsidRPr="00903E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22B2" w:rsidRPr="00EC7DBD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C7DBD">
              <w:rPr>
                <w:sz w:val="20"/>
                <w:szCs w:val="20"/>
              </w:rPr>
              <w:lastRenderedPageBreak/>
              <w:t>Пвз</w:t>
            </w:r>
            <w:proofErr w:type="spellEnd"/>
            <w:r w:rsidRPr="00EC7DBD">
              <w:rPr>
                <w:sz w:val="20"/>
                <w:szCs w:val="20"/>
              </w:rPr>
              <w:t xml:space="preserve"> - прогнозируемая на текущий финансовый год сумма поступлений доходов от пользователей имущества в возмещение затрат на содержание и эксплуатацию зданий (помещений);</w:t>
            </w:r>
          </w:p>
          <w:p w:rsidR="000222B2" w:rsidRPr="00EC7DBD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C7DBD">
              <w:rPr>
                <w:sz w:val="20"/>
                <w:szCs w:val="20"/>
              </w:rPr>
              <w:t>Р</w:t>
            </w:r>
            <w:proofErr w:type="gramStart"/>
            <w:r w:rsidRPr="00EC7DBD">
              <w:rPr>
                <w:sz w:val="20"/>
                <w:szCs w:val="20"/>
              </w:rPr>
              <w:t>i</w:t>
            </w:r>
            <w:proofErr w:type="gramEnd"/>
            <w:r w:rsidRPr="00EC7DBD">
              <w:rPr>
                <w:sz w:val="20"/>
                <w:szCs w:val="20"/>
              </w:rPr>
              <w:t>вз</w:t>
            </w:r>
            <w:proofErr w:type="spellEnd"/>
            <w:r w:rsidRPr="00EC7DBD">
              <w:rPr>
                <w:sz w:val="20"/>
                <w:szCs w:val="20"/>
              </w:rPr>
              <w:t xml:space="preserve"> - размер ежемесячных платежей по возмещению затрат по каждому </w:t>
            </w:r>
            <w:proofErr w:type="spellStart"/>
            <w:r w:rsidRPr="00EC7DBD">
              <w:rPr>
                <w:sz w:val="20"/>
                <w:szCs w:val="20"/>
              </w:rPr>
              <w:t>i-му</w:t>
            </w:r>
            <w:proofErr w:type="spellEnd"/>
            <w:r w:rsidRPr="00EC7DBD">
              <w:rPr>
                <w:sz w:val="20"/>
                <w:szCs w:val="20"/>
              </w:rPr>
              <w:t xml:space="preserve"> договору на возмещение затрат на содержание и эксплуатацию зданий (помещений) в текущем году;</w:t>
            </w:r>
          </w:p>
          <w:p w:rsidR="000222B2" w:rsidRPr="00EC7DBD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EC7DBD">
              <w:rPr>
                <w:sz w:val="20"/>
                <w:szCs w:val="20"/>
              </w:rPr>
              <w:t>Км</w:t>
            </w:r>
            <w:proofErr w:type="gramEnd"/>
            <w:r w:rsidRPr="00EC7DBD">
              <w:rPr>
                <w:sz w:val="20"/>
                <w:szCs w:val="20"/>
              </w:rPr>
              <w:t xml:space="preserve"> - количество месяцев, на которые заключены </w:t>
            </w:r>
            <w:r w:rsidRPr="00EC7DBD">
              <w:rPr>
                <w:sz w:val="20"/>
                <w:szCs w:val="20"/>
              </w:rPr>
              <w:lastRenderedPageBreak/>
              <w:t>договоры, в прогнозируемом периоде;</w:t>
            </w:r>
          </w:p>
          <w:p w:rsidR="000222B2" w:rsidRPr="00EC7DBD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C7DBD">
              <w:rPr>
                <w:sz w:val="20"/>
                <w:szCs w:val="20"/>
              </w:rPr>
              <w:t>Ксобир</w:t>
            </w:r>
            <w:proofErr w:type="spellEnd"/>
            <w:r w:rsidRPr="00EC7DBD">
              <w:rPr>
                <w:sz w:val="20"/>
                <w:szCs w:val="20"/>
              </w:rPr>
              <w:t xml:space="preserve"> - коэффициент собираемости, рассчитываемый как отношение фактически поступивших платежей в предыдущих периодах к начисленным суммам платежей в этих периодах по всем договорам на возмещение затрат на содержание и эксплуатацию зданий (помещений);</w:t>
            </w:r>
          </w:p>
          <w:p w:rsidR="000222B2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EC7DBD">
              <w:rPr>
                <w:sz w:val="20"/>
                <w:szCs w:val="20"/>
              </w:rPr>
              <w:t>З</w:t>
            </w:r>
            <w:proofErr w:type="gramEnd"/>
            <w:r w:rsidRPr="00EC7DBD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ожидаемый объем взыскания дебиторской задолженности прошлых лет.</w:t>
            </w:r>
          </w:p>
          <w:p w:rsidR="000222B2" w:rsidRPr="00EC7DBD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03ED9">
              <w:rPr>
                <w:sz w:val="20"/>
                <w:szCs w:val="20"/>
              </w:rPr>
              <w:t>Источниками данных являются заключенные (планируемые к заключению) договоры о возмещении затрат на содержание и эксплуатацию зданий (помещений)</w:t>
            </w:r>
            <w:r>
              <w:rPr>
                <w:sz w:val="20"/>
                <w:szCs w:val="20"/>
              </w:rPr>
              <w:t>, формы бюджетной отчетности.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</w:tcPr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22D95">
              <w:rPr>
                <w:color w:val="auto"/>
                <w:sz w:val="20"/>
                <w:szCs w:val="20"/>
              </w:rPr>
              <w:t xml:space="preserve">Администрация </w:t>
            </w:r>
            <w:r>
              <w:rPr>
                <w:color w:val="auto"/>
                <w:sz w:val="20"/>
                <w:szCs w:val="20"/>
              </w:rPr>
              <w:t>Ольгинского</w:t>
            </w:r>
            <w:r w:rsidRPr="00F22D95">
              <w:rPr>
                <w:color w:val="auto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22D95">
              <w:rPr>
                <w:color w:val="auto"/>
                <w:sz w:val="20"/>
                <w:szCs w:val="20"/>
              </w:rPr>
              <w:t>11302995100000130</w:t>
            </w:r>
          </w:p>
        </w:tc>
        <w:tc>
          <w:tcPr>
            <w:tcW w:w="1559" w:type="dxa"/>
          </w:tcPr>
          <w:p w:rsidR="000222B2" w:rsidRPr="00F22D95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F22D95">
              <w:t>Прочие доходы от компенсации затрат бюджетов сельских поселений</w:t>
            </w:r>
          </w:p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22B2" w:rsidRPr="00D63C48" w:rsidRDefault="000222B2" w:rsidP="00461E28">
            <w:pPr>
              <w:spacing w:beforeAutospacing="1" w:afterAutospacing="1"/>
              <w:rPr>
                <w:sz w:val="18"/>
                <w:szCs w:val="18"/>
              </w:rPr>
            </w:pPr>
            <w:r w:rsidRPr="00D63C48">
              <w:rPr>
                <w:sz w:val="18"/>
                <w:szCs w:val="18"/>
              </w:rPr>
              <w:t>иной способ</w:t>
            </w:r>
          </w:p>
        </w:tc>
        <w:tc>
          <w:tcPr>
            <w:tcW w:w="2977" w:type="dxa"/>
          </w:tcPr>
          <w:p w:rsidR="000222B2" w:rsidRPr="00D63C48" w:rsidRDefault="000222B2" w:rsidP="00461E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22B2" w:rsidRPr="00D63C48" w:rsidRDefault="000222B2" w:rsidP="00461E28">
            <w:pPr>
              <w:spacing w:beforeAutospacing="1" w:afterAutospacing="1"/>
              <w:rPr>
                <w:sz w:val="18"/>
                <w:szCs w:val="18"/>
              </w:rPr>
            </w:pPr>
            <w:r w:rsidRPr="00D63C48">
              <w:rPr>
                <w:sz w:val="18"/>
                <w:szCs w:val="18"/>
              </w:rPr>
              <w:t xml:space="preserve"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</w:t>
            </w:r>
            <w:r w:rsidRPr="00D63C48">
              <w:rPr>
                <w:sz w:val="18"/>
                <w:szCs w:val="18"/>
              </w:rPr>
              <w:lastRenderedPageBreak/>
              <w:t>осуществляется</w:t>
            </w:r>
          </w:p>
        </w:tc>
        <w:tc>
          <w:tcPr>
            <w:tcW w:w="2693" w:type="dxa"/>
          </w:tcPr>
          <w:p w:rsidR="000222B2" w:rsidRPr="00D63C48" w:rsidRDefault="000222B2" w:rsidP="00461E28">
            <w:pPr>
              <w:pStyle w:val="ConsPlusNormal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63C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данных: формы бюджетной отчетности 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DBD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Ольгинского</w:t>
            </w:r>
            <w:r w:rsidRPr="00EC7DB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DBD">
              <w:rPr>
                <w:sz w:val="20"/>
                <w:szCs w:val="20"/>
              </w:rPr>
              <w:t>11406025100000430</w:t>
            </w:r>
          </w:p>
        </w:tc>
        <w:tc>
          <w:tcPr>
            <w:tcW w:w="1559" w:type="dxa"/>
          </w:tcPr>
          <w:p w:rsidR="000222B2" w:rsidRPr="00EC7DBD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EC7DBD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22B2" w:rsidRPr="00EC7DBD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977" w:type="dxa"/>
          </w:tcPr>
          <w:p w:rsidR="000222B2" w:rsidRPr="003F644E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sz w:val="20"/>
                      <w:szCs w:val="20"/>
                    </w:rPr>
                    <m:t>Дрз</m:t>
                  </m:r>
                  <m:r>
                    <m:rPr>
                      <m:sty m:val="p"/>
                    </m:rPr>
                    <w:rPr>
                      <w:rFonts w:ascii="Cambria Math"/>
                      <w:sz w:val="20"/>
                      <w:szCs w:val="20"/>
                    </w:rPr>
                    <m:t>2</m:t>
                  </m:r>
                </m:e>
                <m:sup/>
              </m:sSup>
              <m:r>
                <w:rPr>
                  <w:rFonts w:ascii="Cambria Math" w:eastAsia="Cambria Math"/>
                  <w:sz w:val="20"/>
                  <w:szCs w:val="20"/>
                </w:rPr>
                <m:t>=</m:t>
              </m:r>
              <m:nary>
                <m:naryPr>
                  <m:chr m:val="∑"/>
                  <m:grow m:val="on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i</m:t>
                  </m:r>
                  <m:r>
                    <w:rPr>
                      <w:rFonts w:ascii="Cambria Math" w:eastAsia="Cambria Math"/>
                      <w:sz w:val="20"/>
                      <w:szCs w:val="20"/>
                    </w:rPr>
                    <m:t>=</m:t>
                  </m:r>
                  <m:r>
                    <w:rPr>
                      <w:rFonts w:ascii="Cambria Math" w:eastAsia="Cambria Math" w:hAnsi="Cambria Math"/>
                      <w:sz w:val="20"/>
                      <w:szCs w:val="20"/>
                    </w:rPr>
                    <m:t>I</m:t>
                  </m:r>
                </m:sub>
                <m:sup>
                  <m:r>
                    <w:rPr>
                      <w:rFonts w:eastAsia="Cambria Math"/>
                      <w:sz w:val="20"/>
                      <w:szCs w:val="20"/>
                    </w:rPr>
                    <m:t>к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sz w:val="20"/>
                          <w:szCs w:val="20"/>
                        </w:rPr>
                        <m:t>х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noProof/>
                          <w:position w:val="-14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47650" cy="295275"/>
                            <wp:effectExtent l="19050" t="0" r="0" b="0"/>
                            <wp:docPr id="3" name="Рисунок 1" descr="base_23724_108318_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base_23724_108318_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0"/>
                          <w:szCs w:val="20"/>
                        </w:rPr>
                        <m:t xml:space="preserve"> </m:t>
                      </m:r>
                    </m:e>
                  </m:d>
                </m:e>
              </m:nary>
            </m:oMath>
            <w:r>
              <w:rPr>
                <w:sz w:val="20"/>
                <w:szCs w:val="20"/>
              </w:rPr>
              <w:t>+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59" w:type="dxa"/>
          </w:tcPr>
          <w:p w:rsidR="000222B2" w:rsidRPr="00D42921" w:rsidRDefault="000222B2" w:rsidP="00461E28">
            <w:pPr>
              <w:autoSpaceDE w:val="0"/>
              <w:autoSpaceDN w:val="0"/>
              <w:adjustRightInd w:val="0"/>
              <w:jc w:val="center"/>
            </w:pPr>
            <w:r w:rsidRPr="00D42921">
              <w:t>Прогноз доходов на каждый год планового периода определяется на уровне рассчитанных показате</w:t>
            </w:r>
            <w:r>
              <w:t>лей на очередной финансовый год</w:t>
            </w:r>
            <w:r w:rsidRPr="00D42921">
              <w:t>.</w:t>
            </w:r>
          </w:p>
          <w:p w:rsidR="000222B2" w:rsidRPr="00D42921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222B2" w:rsidRPr="00F22D95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2D95">
              <w:rPr>
                <w:rFonts w:ascii="Times New Roman" w:hAnsi="Times New Roman" w:cs="Times New Roman"/>
              </w:rPr>
              <w:t>к - количество земельных участков, планируемых к продаже в прогнозируемом периоде;</w:t>
            </w:r>
            <w:proofErr w:type="gramEnd"/>
          </w:p>
          <w:p w:rsidR="000222B2" w:rsidRPr="00F22D95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2D95">
              <w:rPr>
                <w:rFonts w:ascii="Times New Roman" w:hAnsi="Times New Roman" w:cs="Times New Roman"/>
              </w:rPr>
              <w:t>С</w:t>
            </w:r>
            <w:proofErr w:type="gramEnd"/>
            <w:r w:rsidRPr="00F22D95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F22D95">
              <w:rPr>
                <w:rFonts w:ascii="Times New Roman" w:hAnsi="Times New Roman" w:cs="Times New Roman"/>
              </w:rPr>
              <w:t>рыночная</w:t>
            </w:r>
            <w:proofErr w:type="gramEnd"/>
            <w:r w:rsidRPr="00F22D95">
              <w:rPr>
                <w:rFonts w:ascii="Times New Roman" w:hAnsi="Times New Roman" w:cs="Times New Roman"/>
              </w:rPr>
              <w:t xml:space="preserve"> или кадастровая стоимость земельных участков, планируемых к продаже в прогнозируемом периоде;</w:t>
            </w:r>
          </w:p>
          <w:p w:rsidR="000222B2" w:rsidRPr="00F22D95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D95">
              <w:rPr>
                <w:rFonts w:ascii="Times New Roman" w:hAnsi="Times New Roman" w:cs="Times New Roman"/>
                <w:noProof/>
                <w:position w:val="-14"/>
              </w:rPr>
              <w:drawing>
                <wp:inline distT="0" distB="0" distL="0" distR="0">
                  <wp:extent cx="247650" cy="295275"/>
                  <wp:effectExtent l="19050" t="0" r="0" b="0"/>
                  <wp:docPr id="20" name="Рисунок 1" descr="base_23724_108318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24_108318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D95">
              <w:rPr>
                <w:rFonts w:ascii="Times New Roman" w:hAnsi="Times New Roman" w:cs="Times New Roman"/>
              </w:rPr>
              <w:t>- средний уровень реализации, который рассчитывается по формуле:</w:t>
            </w:r>
          </w:p>
          <w:p w:rsidR="000222B2" w:rsidRPr="00F22D95" w:rsidRDefault="000222B2" w:rsidP="00461E28">
            <w:pPr>
              <w:pStyle w:val="ConsPlusNormal"/>
              <w:ind w:firstLine="709"/>
              <w:jc w:val="center"/>
            </w:pPr>
            <w:r w:rsidRPr="00F22D95">
              <w:rPr>
                <w:noProof/>
                <w:position w:val="-24"/>
              </w:rPr>
              <w:drawing>
                <wp:inline distT="0" distB="0" distL="0" distR="0">
                  <wp:extent cx="247650" cy="295275"/>
                  <wp:effectExtent l="19050" t="0" r="0" b="0"/>
                  <wp:docPr id="21" name="Рисунок 1" descr="base_23724_108318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24_108318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∑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ЗУ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vertAlign w:val="subscript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vertAlign w:val="subscript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ЗУ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vertAlign w:val="subscript"/>
                    </w:rPr>
                    <m:t>ПЛ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vertAlign w:val="subscript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n</m:t>
                  </m:r>
                </m:den>
              </m:f>
            </m:oMath>
          </w:p>
          <w:p w:rsidR="000222B2" w:rsidRPr="00F22D95" w:rsidRDefault="000222B2" w:rsidP="00461E2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2D95">
              <w:rPr>
                <w:rFonts w:ascii="Times New Roman" w:hAnsi="Times New Roman" w:cs="Times New Roman"/>
              </w:rPr>
              <w:t>где:</w:t>
            </w:r>
          </w:p>
          <w:p w:rsidR="000222B2" w:rsidRPr="00F22D95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2D95">
              <w:rPr>
                <w:rFonts w:ascii="Times New Roman" w:hAnsi="Times New Roman" w:cs="Times New Roman"/>
              </w:rPr>
              <w:t>n</w:t>
            </w:r>
            <w:proofErr w:type="spellEnd"/>
            <w:r w:rsidRPr="00F22D95">
              <w:rPr>
                <w:rFonts w:ascii="Times New Roman" w:hAnsi="Times New Roman" w:cs="Times New Roman"/>
              </w:rPr>
              <w:t xml:space="preserve"> - количество периодов (не менее 3-х лет, предшествующих </w:t>
            </w:r>
            <w:proofErr w:type="gramStart"/>
            <w:r w:rsidRPr="00F22D95">
              <w:rPr>
                <w:rFonts w:ascii="Times New Roman" w:hAnsi="Times New Roman" w:cs="Times New Roman"/>
              </w:rPr>
              <w:t>прогнозируемому</w:t>
            </w:r>
            <w:proofErr w:type="gramEnd"/>
            <w:r w:rsidRPr="00F22D95">
              <w:rPr>
                <w:rFonts w:ascii="Times New Roman" w:hAnsi="Times New Roman" w:cs="Times New Roman"/>
              </w:rPr>
              <w:t>);</w:t>
            </w:r>
          </w:p>
          <w:p w:rsidR="000222B2" w:rsidRPr="00F22D95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22D95">
              <w:rPr>
                <w:rFonts w:ascii="Times New Roman" w:hAnsi="Times New Roman" w:cs="Times New Roman"/>
              </w:rPr>
              <w:t>ЗУ</w:t>
            </w:r>
            <w:r w:rsidRPr="00F22D95">
              <w:rPr>
                <w:rFonts w:ascii="Times New Roman" w:hAnsi="Times New Roman" w:cs="Times New Roman"/>
                <w:vertAlign w:val="subscript"/>
              </w:rPr>
              <w:t>ПР</w:t>
            </w:r>
            <w:r w:rsidRPr="00F22D95">
              <w:rPr>
                <w:rFonts w:ascii="Times New Roman" w:hAnsi="Times New Roman" w:cs="Times New Roman"/>
              </w:rPr>
              <w:t xml:space="preserve"> - количество проданных земельных участков в периоде;</w:t>
            </w:r>
          </w:p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22D95">
              <w:rPr>
                <w:color w:val="auto"/>
                <w:sz w:val="20"/>
                <w:szCs w:val="20"/>
              </w:rPr>
              <w:t>ЗУ</w:t>
            </w:r>
            <w:r w:rsidRPr="00F22D95">
              <w:rPr>
                <w:color w:val="auto"/>
                <w:sz w:val="20"/>
                <w:szCs w:val="20"/>
                <w:vertAlign w:val="subscript"/>
              </w:rPr>
              <w:t>ПЛ</w:t>
            </w:r>
            <w:r w:rsidRPr="00F22D95">
              <w:rPr>
                <w:color w:val="auto"/>
                <w:sz w:val="20"/>
                <w:szCs w:val="20"/>
              </w:rPr>
              <w:t xml:space="preserve"> - количество земельных участков, запланированных к продаже в периоде;</w:t>
            </w:r>
          </w:p>
          <w:p w:rsidR="000222B2" w:rsidRPr="00F22D95" w:rsidRDefault="000222B2" w:rsidP="00461E2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F22D95">
              <w:rPr>
                <w:sz w:val="20"/>
                <w:szCs w:val="20"/>
              </w:rPr>
              <w:t>З</w:t>
            </w:r>
            <w:proofErr w:type="gramEnd"/>
            <w:r w:rsidRPr="00F22D95">
              <w:rPr>
                <w:sz w:val="20"/>
                <w:szCs w:val="20"/>
              </w:rPr>
              <w:t xml:space="preserve"> - ожидаемый объем взыскания дебиторской задолженности прошлых лет.</w:t>
            </w:r>
          </w:p>
          <w:p w:rsidR="000222B2" w:rsidRPr="00F22D95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22D95">
              <w:rPr>
                <w:color w:val="auto"/>
                <w:sz w:val="20"/>
                <w:szCs w:val="20"/>
              </w:rPr>
              <w:t xml:space="preserve">Источник данных: прогнозный план приватизации собственности </w:t>
            </w:r>
            <w:r>
              <w:rPr>
                <w:color w:val="auto"/>
                <w:sz w:val="20"/>
                <w:szCs w:val="20"/>
              </w:rPr>
              <w:t>Ольгинского</w:t>
            </w:r>
            <w:r w:rsidRPr="00F22D95">
              <w:rPr>
                <w:color w:val="auto"/>
                <w:sz w:val="20"/>
                <w:szCs w:val="20"/>
              </w:rPr>
              <w:t xml:space="preserve"> сельского поселения</w:t>
            </w:r>
            <w:proofErr w:type="gramStart"/>
            <w:r w:rsidRPr="00F22D95">
              <w:rPr>
                <w:color w:val="auto"/>
                <w:sz w:val="20"/>
                <w:szCs w:val="20"/>
              </w:rPr>
              <w:t xml:space="preserve">;; </w:t>
            </w:r>
            <w:proofErr w:type="gramEnd"/>
            <w:r w:rsidRPr="00F22D95">
              <w:rPr>
                <w:color w:val="auto"/>
                <w:sz w:val="20"/>
                <w:szCs w:val="20"/>
              </w:rPr>
              <w:t>отчет о приватизации; договоры купли-продажи; формы бюджетной отчетности.</w:t>
            </w: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lastRenderedPageBreak/>
              <w:t>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11607090100000140</w:t>
            </w:r>
          </w:p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Иные </w:t>
            </w:r>
            <w: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 xml:space="preserve">Оценка </w:t>
            </w:r>
            <w:r>
              <w:lastRenderedPageBreak/>
              <w:t>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693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Источники данных: </w:t>
            </w:r>
            <w:r>
              <w:lastRenderedPageBreak/>
              <w:t>формы бюджетной отчетности</w:t>
            </w:r>
          </w:p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11701050100000180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 xml:space="preserve">Невыясненные поступления, зачисляемые в бюджеты сельских </w:t>
            </w:r>
            <w:r>
              <w:lastRenderedPageBreak/>
              <w:t>поселений</w:t>
            </w:r>
          </w:p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 xml:space="preserve">Прогнозирование поступлений на текущий финансовый год, очередной </w:t>
            </w:r>
            <w:r>
              <w:lastRenderedPageBreak/>
              <w:t>финансовый год и каждый год планового периода не осуществляется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1559" w:type="dxa"/>
          </w:tcPr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Иной способ</w:t>
            </w:r>
          </w:p>
        </w:tc>
        <w:tc>
          <w:tcPr>
            <w:tcW w:w="297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Прогнозирование поступлений на текущий финансовый год, очередной финансовый год и каждый год планового периода не осуществляется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11715030100000150</w:t>
            </w:r>
          </w:p>
        </w:tc>
        <w:tc>
          <w:tcPr>
            <w:tcW w:w="1559" w:type="dxa"/>
          </w:tcPr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BFF">
              <w:rPr>
                <w:sz w:val="18"/>
                <w:szCs w:val="18"/>
              </w:rPr>
              <w:t xml:space="preserve">Инициативные </w:t>
            </w:r>
            <w:proofErr w:type="gramStart"/>
            <w:r w:rsidRPr="00C70BFF">
              <w:rPr>
                <w:sz w:val="18"/>
                <w:szCs w:val="18"/>
              </w:rPr>
              <w:t>платежи</w:t>
            </w:r>
            <w:proofErr w:type="gramEnd"/>
            <w:r w:rsidRPr="00C70BFF">
              <w:rPr>
                <w:sz w:val="18"/>
                <w:szCs w:val="18"/>
              </w:rPr>
              <w:t xml:space="preserve">  зачисляемые в бюджет сельских поселений</w:t>
            </w:r>
          </w:p>
        </w:tc>
        <w:tc>
          <w:tcPr>
            <w:tcW w:w="141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Иной способ</w:t>
            </w:r>
          </w:p>
        </w:tc>
        <w:tc>
          <w:tcPr>
            <w:tcW w:w="297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Прогнозирование поступлений на текущий финансовый год, очередной финансовый год и каждый год планового периода не осуществляется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 xml:space="preserve">Дотации бюджетам сельских поселений на выравнивание бюджетной обеспеченности из бюджета субъекта </w:t>
            </w:r>
            <w:r>
              <w:lastRenderedPageBreak/>
              <w:t>Российской Федерации</w:t>
            </w:r>
          </w:p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9C0A4E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ожидаемого о</w:t>
            </w:r>
            <w:r w:rsidRPr="009C0A4E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>а</w:t>
            </w:r>
            <w:r w:rsidRPr="009C0A4E">
              <w:rPr>
                <w:sz w:val="20"/>
                <w:szCs w:val="20"/>
              </w:rPr>
              <w:t xml:space="preserve"> поступлений определяется на основании </w:t>
            </w:r>
            <w:proofErr w:type="gramStart"/>
            <w:r w:rsidRPr="009C0A4E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9C0A4E">
              <w:rPr>
                <w:sz w:val="20"/>
                <w:szCs w:val="20"/>
              </w:rPr>
              <w:t xml:space="preserve"> в случае, если </w:t>
            </w:r>
            <w:r w:rsidRPr="009C0A4E">
              <w:rPr>
                <w:sz w:val="20"/>
                <w:szCs w:val="20"/>
              </w:rPr>
              <w:lastRenderedPageBreak/>
              <w:t>такой объем определен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20219999100000150</w:t>
            </w:r>
          </w:p>
        </w:tc>
        <w:tc>
          <w:tcPr>
            <w:tcW w:w="1559" w:type="dxa"/>
          </w:tcPr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0BFF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41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Иной способ</w:t>
            </w:r>
          </w:p>
        </w:tc>
        <w:tc>
          <w:tcPr>
            <w:tcW w:w="297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 xml:space="preserve">Прогноз ожидаемого объема поступлений определяется на основании </w:t>
            </w:r>
            <w:proofErr w:type="gramStart"/>
            <w:r w:rsidRPr="008065DF">
              <w:rPr>
                <w:sz w:val="18"/>
                <w:szCs w:val="18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8065DF">
              <w:rPr>
                <w:sz w:val="18"/>
                <w:szCs w:val="18"/>
              </w:rPr>
              <w:t xml:space="preserve"> в случае, если такой объем определен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9C0A4E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ожидаемого о</w:t>
            </w:r>
            <w:r w:rsidRPr="009C0A4E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>а</w:t>
            </w:r>
            <w:r w:rsidRPr="009C0A4E">
              <w:rPr>
                <w:sz w:val="20"/>
                <w:szCs w:val="20"/>
              </w:rPr>
              <w:t xml:space="preserve"> поступлений определяется на основании </w:t>
            </w:r>
            <w:proofErr w:type="gramStart"/>
            <w:r w:rsidRPr="009C0A4E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9C0A4E">
              <w:rPr>
                <w:sz w:val="20"/>
                <w:szCs w:val="20"/>
              </w:rPr>
              <w:t xml:space="preserve"> в случае, если такой объем определен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7D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7D9"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7D9">
              <w:rPr>
                <w:sz w:val="20"/>
                <w:szCs w:val="20"/>
              </w:rPr>
              <w:t xml:space="preserve">Администрация Ольгинского сельского </w:t>
            </w:r>
            <w:r w:rsidRPr="008F07D9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8F07D9">
              <w:rPr>
                <w:sz w:val="20"/>
                <w:szCs w:val="20"/>
              </w:rPr>
              <w:lastRenderedPageBreak/>
              <w:t>20225467100000150</w:t>
            </w:r>
          </w:p>
        </w:tc>
        <w:tc>
          <w:tcPr>
            <w:tcW w:w="1559" w:type="dxa"/>
          </w:tcPr>
          <w:p w:rsidR="000222B2" w:rsidRPr="008F07D9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07D9">
              <w:rPr>
                <w:color w:val="000000"/>
                <w:sz w:val="18"/>
                <w:szCs w:val="18"/>
                <w:shd w:val="clear" w:color="auto" w:fill="FFFFFF"/>
              </w:rPr>
              <w:t xml:space="preserve">Субсидии бюджетам сельских поселений на обеспечение развития и укрепления </w:t>
            </w:r>
            <w:r w:rsidRPr="008F07D9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07D9">
              <w:rPr>
                <w:sz w:val="18"/>
                <w:szCs w:val="18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22B2" w:rsidRPr="008F07D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07D9">
              <w:rPr>
                <w:sz w:val="18"/>
                <w:szCs w:val="18"/>
              </w:rPr>
              <w:t xml:space="preserve">Прогноз ожидаемого объема поступлений определяется на основании </w:t>
            </w:r>
            <w:proofErr w:type="gramStart"/>
            <w:r w:rsidRPr="008F07D9">
              <w:rPr>
                <w:sz w:val="18"/>
                <w:szCs w:val="18"/>
              </w:rPr>
              <w:t xml:space="preserve">объема расходов </w:t>
            </w:r>
            <w:r w:rsidRPr="008F07D9">
              <w:rPr>
                <w:sz w:val="18"/>
                <w:szCs w:val="18"/>
              </w:rPr>
              <w:lastRenderedPageBreak/>
              <w:t>соответствующего бюджета бюджетной системы Российской Федерации</w:t>
            </w:r>
            <w:proofErr w:type="gramEnd"/>
            <w:r w:rsidRPr="008F07D9">
              <w:rPr>
                <w:sz w:val="18"/>
                <w:szCs w:val="18"/>
              </w:rPr>
              <w:t xml:space="preserve"> в случае, если такой объем определен</w:t>
            </w:r>
          </w:p>
        </w:tc>
        <w:tc>
          <w:tcPr>
            <w:tcW w:w="2693" w:type="dxa"/>
          </w:tcPr>
          <w:p w:rsidR="000222B2" w:rsidRPr="008F07D9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20235118100000150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9C0A4E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ожидаемого о</w:t>
            </w:r>
            <w:r w:rsidRPr="009C0A4E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>а</w:t>
            </w:r>
            <w:r w:rsidRPr="009C0A4E">
              <w:rPr>
                <w:sz w:val="20"/>
                <w:szCs w:val="20"/>
              </w:rPr>
              <w:t xml:space="preserve"> поступлений определяется на основании </w:t>
            </w:r>
            <w:proofErr w:type="gramStart"/>
            <w:r w:rsidRPr="009C0A4E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9C0A4E">
              <w:rPr>
                <w:sz w:val="20"/>
                <w:szCs w:val="20"/>
              </w:rPr>
              <w:t xml:space="preserve"> в случае, если такой объем определен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20240014100000150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Межбюджетные трансферты, передаваемые бюджетам сельских поселений из бюджетов муниципаль</w:t>
            </w:r>
            <w:r>
              <w:lastRenderedPageBreak/>
              <w:t>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9C0A4E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ожидаемого о</w:t>
            </w:r>
            <w:r w:rsidRPr="009C0A4E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>а</w:t>
            </w:r>
            <w:r w:rsidRPr="009C0A4E">
              <w:rPr>
                <w:sz w:val="20"/>
                <w:szCs w:val="20"/>
              </w:rPr>
              <w:t xml:space="preserve"> поступлений определяется на основании </w:t>
            </w:r>
            <w:proofErr w:type="gramStart"/>
            <w:r w:rsidRPr="009C0A4E">
              <w:rPr>
                <w:sz w:val="20"/>
                <w:szCs w:val="20"/>
              </w:rPr>
              <w:t xml:space="preserve">объема расходов соответствующего бюджета </w:t>
            </w:r>
            <w:r w:rsidRPr="009C0A4E"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  <w:proofErr w:type="gramEnd"/>
            <w:r w:rsidRPr="009C0A4E">
              <w:rPr>
                <w:sz w:val="20"/>
                <w:szCs w:val="20"/>
              </w:rPr>
              <w:t xml:space="preserve"> в случае, если такой объем определен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Прочие межбюджетные трансферты, передаваемые бюджетам сельских поселений</w:t>
            </w:r>
          </w:p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Pr="009C0A4E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ожидаемого о</w:t>
            </w:r>
            <w:r w:rsidRPr="009C0A4E"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>а</w:t>
            </w:r>
            <w:r w:rsidRPr="009C0A4E">
              <w:rPr>
                <w:sz w:val="20"/>
                <w:szCs w:val="20"/>
              </w:rPr>
              <w:t xml:space="preserve"> поступлений определяется на основании </w:t>
            </w:r>
            <w:proofErr w:type="gramStart"/>
            <w:r w:rsidRPr="009C0A4E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9C0A4E">
              <w:rPr>
                <w:sz w:val="20"/>
                <w:szCs w:val="20"/>
              </w:rPr>
              <w:t xml:space="preserve"> в случае, если такой объем определен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Ольгинского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20705030100000150</w:t>
            </w:r>
          </w:p>
        </w:tc>
        <w:tc>
          <w:tcPr>
            <w:tcW w:w="1559" w:type="dxa"/>
          </w:tcPr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0222B2" w:rsidRPr="008065DF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065DF">
              <w:rPr>
                <w:sz w:val="18"/>
                <w:szCs w:val="18"/>
              </w:rPr>
              <w:t>Иной способ</w:t>
            </w:r>
          </w:p>
        </w:tc>
        <w:tc>
          <w:tcPr>
            <w:tcW w:w="2977" w:type="dxa"/>
          </w:tcPr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22B2" w:rsidRPr="00BB4F25" w:rsidRDefault="000222B2" w:rsidP="00461E2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B4F25">
              <w:rPr>
                <w:sz w:val="18"/>
                <w:szCs w:val="18"/>
              </w:rPr>
              <w:t xml:space="preserve">Прогнозирование поступлений на текущий финансовый год, очередной финансовый год и каждый год </w:t>
            </w:r>
            <w:r w:rsidRPr="00BB4F25">
              <w:rPr>
                <w:sz w:val="18"/>
                <w:szCs w:val="18"/>
              </w:rPr>
              <w:lastRenderedPageBreak/>
              <w:t>планового периода не осуществляется</w:t>
            </w:r>
          </w:p>
          <w:p w:rsidR="000222B2" w:rsidRPr="008065DF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20805000100000150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>
              <w:lastRenderedPageBreak/>
              <w:t>взысканные суммы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Прогнозирование поступлений на текущий финансовый год, очередной финансовый год и каждый год планового периода не осуществляется</w:t>
            </w:r>
          </w:p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20810000100000150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Прогнозирование поступлений на текущий финансовый год, очередной финансовый год и каждый год планового периода не осуществляется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21860010100000150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lastRenderedPageBreak/>
              <w:t>муниципальных районов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Прогнозирование поступлений на текущий финансовый год, очередной финансовый год и каждый год планового периода не осуществляется</w:t>
            </w:r>
          </w:p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2B2" w:rsidRPr="00B9667A" w:rsidTr="00461E28">
        <w:tc>
          <w:tcPr>
            <w:tcW w:w="514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21960010100000150</w:t>
            </w: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977" w:type="dxa"/>
          </w:tcPr>
          <w:p w:rsidR="000222B2" w:rsidRPr="009C778C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222B2" w:rsidRDefault="000222B2" w:rsidP="00461E28">
            <w:pPr>
              <w:autoSpaceDE w:val="0"/>
              <w:autoSpaceDN w:val="0"/>
              <w:adjustRightInd w:val="0"/>
              <w:jc w:val="center"/>
            </w:pPr>
            <w:r>
              <w:t>Прогнозирование поступлений на текущий финансовый год, очередной финансовый год и каждый год планового периода не осуществляется</w:t>
            </w:r>
          </w:p>
        </w:tc>
        <w:tc>
          <w:tcPr>
            <w:tcW w:w="2693" w:type="dxa"/>
          </w:tcPr>
          <w:p w:rsidR="000222B2" w:rsidRPr="009C778C" w:rsidRDefault="000222B2" w:rsidP="00461E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22B2" w:rsidRDefault="000222B2" w:rsidP="000222B2">
      <w:r>
        <w:t xml:space="preserve"> </w:t>
      </w:r>
    </w:p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Default="000222B2" w:rsidP="000222B2"/>
    <w:p w:rsidR="000222B2" w:rsidRPr="00B9667A" w:rsidRDefault="000222B2" w:rsidP="000222B2">
      <w:pPr>
        <w:jc w:val="right"/>
      </w:pPr>
      <w:r>
        <w:lastRenderedPageBreak/>
        <w:t>П</w:t>
      </w:r>
      <w:r w:rsidRPr="00B9667A">
        <w:t>риложение №</w:t>
      </w:r>
      <w:r>
        <w:t>2</w:t>
      </w:r>
    </w:p>
    <w:p w:rsidR="000222B2" w:rsidRPr="00B9667A" w:rsidRDefault="000222B2" w:rsidP="000222B2">
      <w:pPr>
        <w:jc w:val="right"/>
      </w:pPr>
      <w:r w:rsidRPr="00B9667A">
        <w:t>к постановлению администрации</w:t>
      </w:r>
    </w:p>
    <w:p w:rsidR="000222B2" w:rsidRPr="00B9667A" w:rsidRDefault="000222B2" w:rsidP="000222B2">
      <w:pPr>
        <w:jc w:val="right"/>
      </w:pPr>
      <w:r>
        <w:t>Ольгинского</w:t>
      </w:r>
      <w:r w:rsidRPr="00B9667A">
        <w:t xml:space="preserve"> сельского поселения </w:t>
      </w:r>
    </w:p>
    <w:p w:rsidR="000222B2" w:rsidRPr="00B9667A" w:rsidRDefault="000222B2" w:rsidP="000222B2">
      <w:pPr>
        <w:jc w:val="right"/>
      </w:pPr>
      <w:r w:rsidRPr="00B9667A">
        <w:t xml:space="preserve">от  </w:t>
      </w:r>
      <w:r>
        <w:t>08</w:t>
      </w:r>
      <w:r w:rsidRPr="00B9667A">
        <w:t>.0</w:t>
      </w:r>
      <w:r>
        <w:t>8</w:t>
      </w:r>
      <w:r w:rsidRPr="00B9667A">
        <w:t>.202</w:t>
      </w:r>
      <w:r>
        <w:t>4</w:t>
      </w:r>
      <w:r w:rsidRPr="00B9667A">
        <w:t xml:space="preserve"> года № </w:t>
      </w:r>
      <w:r>
        <w:t>35</w:t>
      </w:r>
    </w:p>
    <w:p w:rsidR="000222B2" w:rsidRPr="005D06D3" w:rsidRDefault="000222B2" w:rsidP="000222B2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</w:pPr>
      <w:r w:rsidRPr="005D06D3">
        <w:t> </w:t>
      </w:r>
      <w:r w:rsidRPr="005D06D3">
        <w:br/>
        <w:t xml:space="preserve"> МЕТОДИКА </w:t>
      </w:r>
    </w:p>
    <w:p w:rsidR="000222B2" w:rsidRDefault="000222B2" w:rsidP="000222B2">
      <w:pPr>
        <w:pStyle w:val="3"/>
        <w:shd w:val="clear" w:color="auto" w:fill="auto"/>
        <w:spacing w:after="0" w:line="240" w:lineRule="auto"/>
        <w:ind w:left="20"/>
        <w:jc w:val="center"/>
      </w:pPr>
      <w:r w:rsidRPr="005D06D3">
        <w:rPr>
          <w:b/>
          <w:sz w:val="24"/>
          <w:szCs w:val="24"/>
        </w:rPr>
        <w:t xml:space="preserve">прогнозирования </w:t>
      </w:r>
      <w:r w:rsidRPr="005D06D3">
        <w:rPr>
          <w:b/>
          <w:spacing w:val="2"/>
          <w:sz w:val="24"/>
          <w:szCs w:val="24"/>
        </w:rPr>
        <w:t xml:space="preserve">поступлений </w:t>
      </w:r>
      <w:r>
        <w:rPr>
          <w:b/>
          <w:spacing w:val="2"/>
          <w:sz w:val="24"/>
          <w:szCs w:val="24"/>
        </w:rPr>
        <w:t>по источникам финансирования дефицита</w:t>
      </w:r>
      <w:r w:rsidRPr="005D06D3">
        <w:rPr>
          <w:b/>
          <w:spacing w:val="2"/>
          <w:sz w:val="24"/>
          <w:szCs w:val="24"/>
        </w:rPr>
        <w:t xml:space="preserve"> бюджет</w:t>
      </w:r>
      <w:r>
        <w:rPr>
          <w:b/>
          <w:spacing w:val="2"/>
          <w:sz w:val="24"/>
          <w:szCs w:val="24"/>
        </w:rPr>
        <w:t>а</w:t>
      </w:r>
      <w:r w:rsidRPr="005D06D3">
        <w:rPr>
          <w:b/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Ольгинского</w:t>
      </w:r>
      <w:r w:rsidRPr="005D06D3">
        <w:rPr>
          <w:b/>
          <w:spacing w:val="2"/>
          <w:sz w:val="24"/>
          <w:szCs w:val="24"/>
        </w:rPr>
        <w:t xml:space="preserve"> сельского поселения Полтавского муниципального района Омской области, главным администратором которых является Администрация </w:t>
      </w:r>
      <w:r>
        <w:rPr>
          <w:b/>
          <w:spacing w:val="2"/>
          <w:sz w:val="24"/>
          <w:szCs w:val="24"/>
        </w:rPr>
        <w:t>Ольгинского</w:t>
      </w:r>
      <w:r w:rsidRPr="005D06D3">
        <w:rPr>
          <w:b/>
          <w:spacing w:val="2"/>
          <w:sz w:val="24"/>
          <w:szCs w:val="24"/>
        </w:rPr>
        <w:t xml:space="preserve"> сельского поселения Полтавского муниципального района Омской области</w:t>
      </w:r>
      <w:r w:rsidRPr="005D06D3">
        <w:rPr>
          <w:sz w:val="24"/>
          <w:szCs w:val="24"/>
        </w:rPr>
        <w:br/>
      </w:r>
    </w:p>
    <w:tbl>
      <w:tblPr>
        <w:tblStyle w:val="af2"/>
        <w:tblW w:w="0" w:type="auto"/>
        <w:tblInd w:w="20" w:type="dxa"/>
        <w:tblLayout w:type="fixed"/>
        <w:tblLook w:val="04A0"/>
      </w:tblPr>
      <w:tblGrid>
        <w:gridCol w:w="514"/>
        <w:gridCol w:w="850"/>
        <w:gridCol w:w="1701"/>
        <w:gridCol w:w="1985"/>
        <w:gridCol w:w="2126"/>
        <w:gridCol w:w="1559"/>
        <w:gridCol w:w="1701"/>
        <w:gridCol w:w="1843"/>
        <w:gridCol w:w="2410"/>
      </w:tblGrid>
      <w:tr w:rsidR="000222B2" w:rsidRPr="00B9667A" w:rsidTr="00461E28">
        <w:tc>
          <w:tcPr>
            <w:tcW w:w="514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667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9667A">
              <w:rPr>
                <w:sz w:val="20"/>
                <w:szCs w:val="20"/>
              </w:rPr>
              <w:t>/</w:t>
            </w:r>
            <w:proofErr w:type="spellStart"/>
            <w:r w:rsidRPr="00B9667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B9667A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9667A">
              <w:rPr>
                <w:sz w:val="20"/>
                <w:szCs w:val="20"/>
              </w:rPr>
              <w:t xml:space="preserve"> </w:t>
            </w:r>
            <w:proofErr w:type="spellStart"/>
            <w:r w:rsidRPr="00B9667A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нист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ратора</w:t>
            </w:r>
            <w:proofErr w:type="spellEnd"/>
            <w:r w:rsidRPr="00B9667A">
              <w:rPr>
                <w:sz w:val="20"/>
                <w:szCs w:val="20"/>
              </w:rPr>
              <w:t xml:space="preserve"> </w:t>
            </w:r>
            <w:proofErr w:type="spellStart"/>
            <w:r w:rsidRPr="00B9667A">
              <w:rPr>
                <w:sz w:val="20"/>
                <w:szCs w:val="20"/>
              </w:rPr>
              <w:t>дохо</w:t>
            </w:r>
            <w:r>
              <w:rPr>
                <w:sz w:val="20"/>
                <w:szCs w:val="20"/>
              </w:rPr>
              <w:t>-</w:t>
            </w:r>
            <w:r w:rsidRPr="00B9667A">
              <w:rPr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01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Наименование главного администратора доходов</w:t>
            </w:r>
          </w:p>
        </w:tc>
        <w:tc>
          <w:tcPr>
            <w:tcW w:w="1985" w:type="dxa"/>
          </w:tcPr>
          <w:p w:rsidR="000222B2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(далее – КБК)</w:t>
            </w:r>
          </w:p>
        </w:tc>
        <w:tc>
          <w:tcPr>
            <w:tcW w:w="2126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1559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701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843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2410" w:type="dxa"/>
          </w:tcPr>
          <w:p w:rsidR="000222B2" w:rsidRPr="00B9667A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9667A">
              <w:rPr>
                <w:sz w:val="20"/>
                <w:szCs w:val="20"/>
              </w:rPr>
              <w:t>Описание показателей</w:t>
            </w:r>
          </w:p>
        </w:tc>
      </w:tr>
      <w:tr w:rsidR="000222B2" w:rsidRPr="000E6D89" w:rsidTr="00461E28">
        <w:tc>
          <w:tcPr>
            <w:tcW w:w="514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E6D89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701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Ольгинского сельского поселения</w:t>
            </w:r>
          </w:p>
        </w:tc>
        <w:tc>
          <w:tcPr>
            <w:tcW w:w="1985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01030100100000710</w:t>
            </w:r>
          </w:p>
        </w:tc>
        <w:tc>
          <w:tcPr>
            <w:tcW w:w="2126" w:type="dxa"/>
          </w:tcPr>
          <w:p w:rsidR="000222B2" w:rsidRPr="000E6D89" w:rsidRDefault="000222B2" w:rsidP="00461E28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</w:tcPr>
          <w:p w:rsidR="000222B2" w:rsidRPr="00EA7FB4" w:rsidRDefault="000222B2" w:rsidP="00461E28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1701" w:type="dxa"/>
          </w:tcPr>
          <w:p w:rsidR="000222B2" w:rsidRDefault="000222B2" w:rsidP="00461E28">
            <w:pPr>
              <w:pStyle w:val="ConsPlusNormal"/>
              <w:ind w:firstLine="0"/>
              <w:jc w:val="both"/>
            </w:pPr>
          </w:p>
        </w:tc>
        <w:tc>
          <w:tcPr>
            <w:tcW w:w="1843" w:type="dxa"/>
          </w:tcPr>
          <w:p w:rsidR="000222B2" w:rsidRPr="00AD76AD" w:rsidRDefault="000222B2" w:rsidP="00461E28">
            <w:pPr>
              <w:pStyle w:val="ConsPlusNormal"/>
              <w:ind w:firstLine="0"/>
              <w:jc w:val="center"/>
            </w:pPr>
            <w:r w:rsidRPr="00AD76AD">
              <w:rPr>
                <w:rFonts w:ascii="Times New Roman" w:hAnsi="Times New Roman"/>
              </w:rPr>
              <w:t xml:space="preserve">Прогноз получения кредитов от других бюджетов бюджетной системы, на плановый период определяется на основании </w:t>
            </w:r>
            <w:proofErr w:type="gramStart"/>
            <w:r w:rsidRPr="00AD76AD">
              <w:rPr>
                <w:rFonts w:ascii="Times New Roman" w:hAnsi="Times New Roma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AD76AD">
              <w:rPr>
                <w:rFonts w:ascii="Times New Roman" w:hAnsi="Times New Roman"/>
              </w:rPr>
              <w:t xml:space="preserve"> в случае, если такой объем расходов определен.</w:t>
            </w:r>
          </w:p>
          <w:p w:rsidR="000222B2" w:rsidRPr="00AD76AD" w:rsidRDefault="000222B2" w:rsidP="00461E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0222B2" w:rsidRPr="00AD76AD" w:rsidRDefault="000222B2" w:rsidP="00461E28">
            <w:pPr>
              <w:pStyle w:val="ConsPlusNormal"/>
              <w:ind w:firstLine="0"/>
              <w:jc w:val="center"/>
            </w:pPr>
          </w:p>
        </w:tc>
      </w:tr>
    </w:tbl>
    <w:p w:rsidR="000222B2" w:rsidRDefault="000222B2" w:rsidP="000222B2">
      <w:pPr>
        <w:rPr>
          <w:sz w:val="28"/>
          <w:szCs w:val="28"/>
        </w:rPr>
      </w:pPr>
    </w:p>
    <w:sectPr w:rsidR="000222B2" w:rsidSect="000222B2">
      <w:pgSz w:w="16838" w:h="11906" w:orient="landscape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920095"/>
    <w:multiLevelType w:val="hybridMultilevel"/>
    <w:tmpl w:val="57CA76F4"/>
    <w:lvl w:ilvl="0" w:tplc="1010B43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CBB1A05"/>
    <w:multiLevelType w:val="hybridMultilevel"/>
    <w:tmpl w:val="DF30E572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0FED3988"/>
    <w:multiLevelType w:val="hybridMultilevel"/>
    <w:tmpl w:val="706E9F56"/>
    <w:lvl w:ilvl="0" w:tplc="2F08BF90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635F96"/>
    <w:multiLevelType w:val="hybridMultilevel"/>
    <w:tmpl w:val="440A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C0E4EC2"/>
    <w:multiLevelType w:val="hybridMultilevel"/>
    <w:tmpl w:val="2912228A"/>
    <w:lvl w:ilvl="0" w:tplc="7C9E609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710C2F2D"/>
    <w:multiLevelType w:val="multilevel"/>
    <w:tmpl w:val="7D28C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BC04B73"/>
    <w:multiLevelType w:val="multilevel"/>
    <w:tmpl w:val="7D28C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2"/>
  </w:num>
  <w:num w:numId="6">
    <w:abstractNumId w:val="10"/>
  </w:num>
  <w:num w:numId="7">
    <w:abstractNumId w:val="18"/>
  </w:num>
  <w:num w:numId="8">
    <w:abstractNumId w:val="21"/>
  </w:num>
  <w:num w:numId="9">
    <w:abstractNumId w:val="14"/>
  </w:num>
  <w:num w:numId="10">
    <w:abstractNumId w:val="15"/>
  </w:num>
  <w:num w:numId="11">
    <w:abstractNumId w:val="17"/>
  </w:num>
  <w:num w:numId="12">
    <w:abstractNumId w:val="19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24"/>
  </w:num>
  <w:num w:numId="18">
    <w:abstractNumId w:val="13"/>
  </w:num>
  <w:num w:numId="19">
    <w:abstractNumId w:val="23"/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9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A15"/>
    <w:rsid w:val="000052D3"/>
    <w:rsid w:val="000058C3"/>
    <w:rsid w:val="0001391F"/>
    <w:rsid w:val="00013BE1"/>
    <w:rsid w:val="00022034"/>
    <w:rsid w:val="000220B7"/>
    <w:rsid w:val="000222B2"/>
    <w:rsid w:val="00026083"/>
    <w:rsid w:val="000266FE"/>
    <w:rsid w:val="0003754F"/>
    <w:rsid w:val="0004063F"/>
    <w:rsid w:val="000408DD"/>
    <w:rsid w:val="00053CD3"/>
    <w:rsid w:val="0005400A"/>
    <w:rsid w:val="00064A98"/>
    <w:rsid w:val="0006527B"/>
    <w:rsid w:val="00067929"/>
    <w:rsid w:val="00070432"/>
    <w:rsid w:val="000905EB"/>
    <w:rsid w:val="00091839"/>
    <w:rsid w:val="000A09C6"/>
    <w:rsid w:val="000A0E50"/>
    <w:rsid w:val="000A1632"/>
    <w:rsid w:val="000A2055"/>
    <w:rsid w:val="000A518A"/>
    <w:rsid w:val="000C2673"/>
    <w:rsid w:val="000C39DA"/>
    <w:rsid w:val="000C57DD"/>
    <w:rsid w:val="000D4BF4"/>
    <w:rsid w:val="000E03E9"/>
    <w:rsid w:val="000E04E2"/>
    <w:rsid w:val="000E74C9"/>
    <w:rsid w:val="000F1D69"/>
    <w:rsid w:val="00102F13"/>
    <w:rsid w:val="001039EC"/>
    <w:rsid w:val="00105291"/>
    <w:rsid w:val="00112B17"/>
    <w:rsid w:val="0012356B"/>
    <w:rsid w:val="0013457B"/>
    <w:rsid w:val="001374ED"/>
    <w:rsid w:val="0014597E"/>
    <w:rsid w:val="0015736A"/>
    <w:rsid w:val="00160AE1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B7C20"/>
    <w:rsid w:val="001D3116"/>
    <w:rsid w:val="001D7A54"/>
    <w:rsid w:val="001F26F1"/>
    <w:rsid w:val="001F7D95"/>
    <w:rsid w:val="0020202F"/>
    <w:rsid w:val="0020667F"/>
    <w:rsid w:val="00210DFD"/>
    <w:rsid w:val="002135E4"/>
    <w:rsid w:val="00227A63"/>
    <w:rsid w:val="00234C60"/>
    <w:rsid w:val="002574F8"/>
    <w:rsid w:val="002639B1"/>
    <w:rsid w:val="0027030E"/>
    <w:rsid w:val="00271675"/>
    <w:rsid w:val="00284FF1"/>
    <w:rsid w:val="0029338C"/>
    <w:rsid w:val="002968F8"/>
    <w:rsid w:val="00296D4C"/>
    <w:rsid w:val="002B66F9"/>
    <w:rsid w:val="002D1DCD"/>
    <w:rsid w:val="002D4DE0"/>
    <w:rsid w:val="002E0320"/>
    <w:rsid w:val="002E27F9"/>
    <w:rsid w:val="002E7DAA"/>
    <w:rsid w:val="002F0D7E"/>
    <w:rsid w:val="002F7473"/>
    <w:rsid w:val="003000CA"/>
    <w:rsid w:val="00311BA6"/>
    <w:rsid w:val="003172AB"/>
    <w:rsid w:val="00320271"/>
    <w:rsid w:val="00322369"/>
    <w:rsid w:val="003268B3"/>
    <w:rsid w:val="00331A55"/>
    <w:rsid w:val="00332D00"/>
    <w:rsid w:val="00340472"/>
    <w:rsid w:val="003532CC"/>
    <w:rsid w:val="00360547"/>
    <w:rsid w:val="00380461"/>
    <w:rsid w:val="00381ECF"/>
    <w:rsid w:val="003862DC"/>
    <w:rsid w:val="00390FCB"/>
    <w:rsid w:val="0039213E"/>
    <w:rsid w:val="003A1ED6"/>
    <w:rsid w:val="003A2D94"/>
    <w:rsid w:val="003A3A6E"/>
    <w:rsid w:val="003A3F22"/>
    <w:rsid w:val="003B202E"/>
    <w:rsid w:val="003C30A3"/>
    <w:rsid w:val="003D1CAF"/>
    <w:rsid w:val="003E1923"/>
    <w:rsid w:val="003F2704"/>
    <w:rsid w:val="00401A34"/>
    <w:rsid w:val="00404268"/>
    <w:rsid w:val="00404B49"/>
    <w:rsid w:val="0040641C"/>
    <w:rsid w:val="0041762A"/>
    <w:rsid w:val="004213B0"/>
    <w:rsid w:val="004214D3"/>
    <w:rsid w:val="00425CAB"/>
    <w:rsid w:val="00430336"/>
    <w:rsid w:val="004401D2"/>
    <w:rsid w:val="00447169"/>
    <w:rsid w:val="00450408"/>
    <w:rsid w:val="004562CF"/>
    <w:rsid w:val="00456A15"/>
    <w:rsid w:val="0047004D"/>
    <w:rsid w:val="004A0E06"/>
    <w:rsid w:val="004A7C27"/>
    <w:rsid w:val="004A7E46"/>
    <w:rsid w:val="004B1860"/>
    <w:rsid w:val="004B7EC5"/>
    <w:rsid w:val="004C1D0D"/>
    <w:rsid w:val="004C2751"/>
    <w:rsid w:val="004D129C"/>
    <w:rsid w:val="004D3367"/>
    <w:rsid w:val="004F6B57"/>
    <w:rsid w:val="004F7489"/>
    <w:rsid w:val="005110F0"/>
    <w:rsid w:val="00525D4E"/>
    <w:rsid w:val="00526770"/>
    <w:rsid w:val="005270AE"/>
    <w:rsid w:val="005305B4"/>
    <w:rsid w:val="00537728"/>
    <w:rsid w:val="00543362"/>
    <w:rsid w:val="00552CE0"/>
    <w:rsid w:val="0056038A"/>
    <w:rsid w:val="00563607"/>
    <w:rsid w:val="00564F5F"/>
    <w:rsid w:val="00565C6B"/>
    <w:rsid w:val="00566156"/>
    <w:rsid w:val="0058215E"/>
    <w:rsid w:val="00583C93"/>
    <w:rsid w:val="00595B06"/>
    <w:rsid w:val="005A257A"/>
    <w:rsid w:val="005A3B66"/>
    <w:rsid w:val="005A7ADB"/>
    <w:rsid w:val="005C4494"/>
    <w:rsid w:val="005D06D3"/>
    <w:rsid w:val="005D2982"/>
    <w:rsid w:val="005D5F6F"/>
    <w:rsid w:val="005E2F37"/>
    <w:rsid w:val="005E7220"/>
    <w:rsid w:val="005E776C"/>
    <w:rsid w:val="005F24C4"/>
    <w:rsid w:val="00610EAC"/>
    <w:rsid w:val="0061299D"/>
    <w:rsid w:val="00613EDA"/>
    <w:rsid w:val="0061483F"/>
    <w:rsid w:val="00636EA3"/>
    <w:rsid w:val="00640939"/>
    <w:rsid w:val="00640D79"/>
    <w:rsid w:val="00641FE5"/>
    <w:rsid w:val="00645C95"/>
    <w:rsid w:val="0064684C"/>
    <w:rsid w:val="00656522"/>
    <w:rsid w:val="00660225"/>
    <w:rsid w:val="00674D16"/>
    <w:rsid w:val="00675B0A"/>
    <w:rsid w:val="00686562"/>
    <w:rsid w:val="0069589D"/>
    <w:rsid w:val="00696832"/>
    <w:rsid w:val="006A4A46"/>
    <w:rsid w:val="006B1343"/>
    <w:rsid w:val="006C5296"/>
    <w:rsid w:val="006C78A3"/>
    <w:rsid w:val="006D0985"/>
    <w:rsid w:val="006D1CED"/>
    <w:rsid w:val="006E3DFB"/>
    <w:rsid w:val="006F1A3B"/>
    <w:rsid w:val="006F1B70"/>
    <w:rsid w:val="006F7DF4"/>
    <w:rsid w:val="0071112C"/>
    <w:rsid w:val="00711C3D"/>
    <w:rsid w:val="0072172E"/>
    <w:rsid w:val="0072214A"/>
    <w:rsid w:val="00726A0B"/>
    <w:rsid w:val="00742E55"/>
    <w:rsid w:val="007479A0"/>
    <w:rsid w:val="00750F74"/>
    <w:rsid w:val="0075457D"/>
    <w:rsid w:val="0075561A"/>
    <w:rsid w:val="007642CC"/>
    <w:rsid w:val="00765084"/>
    <w:rsid w:val="00774663"/>
    <w:rsid w:val="00774892"/>
    <w:rsid w:val="0078197F"/>
    <w:rsid w:val="00783E6D"/>
    <w:rsid w:val="00793F73"/>
    <w:rsid w:val="007A002A"/>
    <w:rsid w:val="007A3CAD"/>
    <w:rsid w:val="007A5A3D"/>
    <w:rsid w:val="007A77A7"/>
    <w:rsid w:val="007B457C"/>
    <w:rsid w:val="007C4DFC"/>
    <w:rsid w:val="007C630F"/>
    <w:rsid w:val="007D2FCA"/>
    <w:rsid w:val="007D63B4"/>
    <w:rsid w:val="007E1464"/>
    <w:rsid w:val="00805017"/>
    <w:rsid w:val="00806FEE"/>
    <w:rsid w:val="00814C5F"/>
    <w:rsid w:val="00816195"/>
    <w:rsid w:val="0081719A"/>
    <w:rsid w:val="00836A86"/>
    <w:rsid w:val="008406F4"/>
    <w:rsid w:val="00852CC4"/>
    <w:rsid w:val="00853A23"/>
    <w:rsid w:val="00854D2F"/>
    <w:rsid w:val="00883FB8"/>
    <w:rsid w:val="00884FF1"/>
    <w:rsid w:val="008869D1"/>
    <w:rsid w:val="008A34AC"/>
    <w:rsid w:val="008A529B"/>
    <w:rsid w:val="008A5D3C"/>
    <w:rsid w:val="008A78B3"/>
    <w:rsid w:val="008C4057"/>
    <w:rsid w:val="008D57EB"/>
    <w:rsid w:val="008E0805"/>
    <w:rsid w:val="008F2965"/>
    <w:rsid w:val="008F4E13"/>
    <w:rsid w:val="008F5B5B"/>
    <w:rsid w:val="008F7EAE"/>
    <w:rsid w:val="008F7EB9"/>
    <w:rsid w:val="009015CE"/>
    <w:rsid w:val="009030BF"/>
    <w:rsid w:val="0090381F"/>
    <w:rsid w:val="009073B7"/>
    <w:rsid w:val="00925942"/>
    <w:rsid w:val="00927EE0"/>
    <w:rsid w:val="00930819"/>
    <w:rsid w:val="00930DA6"/>
    <w:rsid w:val="00943635"/>
    <w:rsid w:val="0094436C"/>
    <w:rsid w:val="00952163"/>
    <w:rsid w:val="00953E28"/>
    <w:rsid w:val="0095646D"/>
    <w:rsid w:val="00961164"/>
    <w:rsid w:val="00976204"/>
    <w:rsid w:val="00980248"/>
    <w:rsid w:val="00983EF0"/>
    <w:rsid w:val="009929E8"/>
    <w:rsid w:val="009977EE"/>
    <w:rsid w:val="009A7CB9"/>
    <w:rsid w:val="009C040D"/>
    <w:rsid w:val="009D1887"/>
    <w:rsid w:val="009D5AB4"/>
    <w:rsid w:val="00A06C26"/>
    <w:rsid w:val="00A25B6E"/>
    <w:rsid w:val="00A30C4A"/>
    <w:rsid w:val="00A33291"/>
    <w:rsid w:val="00A33293"/>
    <w:rsid w:val="00A5421C"/>
    <w:rsid w:val="00A55A2B"/>
    <w:rsid w:val="00A565FA"/>
    <w:rsid w:val="00A602B1"/>
    <w:rsid w:val="00A6752F"/>
    <w:rsid w:val="00A76133"/>
    <w:rsid w:val="00A822A1"/>
    <w:rsid w:val="00A833C5"/>
    <w:rsid w:val="00AA2085"/>
    <w:rsid w:val="00AB08A4"/>
    <w:rsid w:val="00AB10E1"/>
    <w:rsid w:val="00AB7934"/>
    <w:rsid w:val="00AD4007"/>
    <w:rsid w:val="00AD4841"/>
    <w:rsid w:val="00AE2925"/>
    <w:rsid w:val="00AE4D54"/>
    <w:rsid w:val="00AE62E0"/>
    <w:rsid w:val="00AE6F2E"/>
    <w:rsid w:val="00AF5F52"/>
    <w:rsid w:val="00B05118"/>
    <w:rsid w:val="00B05955"/>
    <w:rsid w:val="00B114ED"/>
    <w:rsid w:val="00B14B12"/>
    <w:rsid w:val="00B16E2F"/>
    <w:rsid w:val="00B208A0"/>
    <w:rsid w:val="00B2322E"/>
    <w:rsid w:val="00B23261"/>
    <w:rsid w:val="00B237F3"/>
    <w:rsid w:val="00B30F84"/>
    <w:rsid w:val="00B45844"/>
    <w:rsid w:val="00B47601"/>
    <w:rsid w:val="00B51A9C"/>
    <w:rsid w:val="00B5535B"/>
    <w:rsid w:val="00B7201A"/>
    <w:rsid w:val="00B80803"/>
    <w:rsid w:val="00B821CA"/>
    <w:rsid w:val="00B837A4"/>
    <w:rsid w:val="00B97E56"/>
    <w:rsid w:val="00BA396F"/>
    <w:rsid w:val="00BB0A2E"/>
    <w:rsid w:val="00BB45F6"/>
    <w:rsid w:val="00BC1661"/>
    <w:rsid w:val="00BD3719"/>
    <w:rsid w:val="00BE2BA6"/>
    <w:rsid w:val="00BE31DE"/>
    <w:rsid w:val="00BE72C4"/>
    <w:rsid w:val="00C0063F"/>
    <w:rsid w:val="00C1721C"/>
    <w:rsid w:val="00C2237C"/>
    <w:rsid w:val="00C36C24"/>
    <w:rsid w:val="00C377CA"/>
    <w:rsid w:val="00C40C1F"/>
    <w:rsid w:val="00C4276B"/>
    <w:rsid w:val="00C50736"/>
    <w:rsid w:val="00C614CB"/>
    <w:rsid w:val="00C61E13"/>
    <w:rsid w:val="00C710CB"/>
    <w:rsid w:val="00C7262F"/>
    <w:rsid w:val="00C7336E"/>
    <w:rsid w:val="00C770D6"/>
    <w:rsid w:val="00C77AF7"/>
    <w:rsid w:val="00CA1856"/>
    <w:rsid w:val="00CA5A2A"/>
    <w:rsid w:val="00CA6C08"/>
    <w:rsid w:val="00CB0527"/>
    <w:rsid w:val="00CB18FD"/>
    <w:rsid w:val="00CB3A14"/>
    <w:rsid w:val="00CC34E0"/>
    <w:rsid w:val="00CC4BC1"/>
    <w:rsid w:val="00CD0AD1"/>
    <w:rsid w:val="00CD5A94"/>
    <w:rsid w:val="00D122E7"/>
    <w:rsid w:val="00D15108"/>
    <w:rsid w:val="00D36606"/>
    <w:rsid w:val="00D37768"/>
    <w:rsid w:val="00D537BE"/>
    <w:rsid w:val="00D60D47"/>
    <w:rsid w:val="00D6660F"/>
    <w:rsid w:val="00D708A5"/>
    <w:rsid w:val="00D731C0"/>
    <w:rsid w:val="00D87C58"/>
    <w:rsid w:val="00D90E59"/>
    <w:rsid w:val="00D91620"/>
    <w:rsid w:val="00D9341E"/>
    <w:rsid w:val="00DA2335"/>
    <w:rsid w:val="00DE5AFF"/>
    <w:rsid w:val="00DF2DF1"/>
    <w:rsid w:val="00DF4209"/>
    <w:rsid w:val="00DF5E66"/>
    <w:rsid w:val="00E07EFA"/>
    <w:rsid w:val="00E15F75"/>
    <w:rsid w:val="00E17B5C"/>
    <w:rsid w:val="00E22E23"/>
    <w:rsid w:val="00E3452C"/>
    <w:rsid w:val="00E428EB"/>
    <w:rsid w:val="00E64C3D"/>
    <w:rsid w:val="00E66AEC"/>
    <w:rsid w:val="00E73DFF"/>
    <w:rsid w:val="00E97BE8"/>
    <w:rsid w:val="00EA49D3"/>
    <w:rsid w:val="00EA507B"/>
    <w:rsid w:val="00EA5D2F"/>
    <w:rsid w:val="00EB2026"/>
    <w:rsid w:val="00EB4B9A"/>
    <w:rsid w:val="00EC1301"/>
    <w:rsid w:val="00ED0AE1"/>
    <w:rsid w:val="00ED6B4F"/>
    <w:rsid w:val="00EE169C"/>
    <w:rsid w:val="00EF300E"/>
    <w:rsid w:val="00F009CF"/>
    <w:rsid w:val="00F153D1"/>
    <w:rsid w:val="00F361F2"/>
    <w:rsid w:val="00F36ECE"/>
    <w:rsid w:val="00F51D11"/>
    <w:rsid w:val="00F65FE0"/>
    <w:rsid w:val="00F66586"/>
    <w:rsid w:val="00F70969"/>
    <w:rsid w:val="00F7460B"/>
    <w:rsid w:val="00F8316B"/>
    <w:rsid w:val="00FA6D8A"/>
    <w:rsid w:val="00FB6CE2"/>
    <w:rsid w:val="00FC0871"/>
    <w:rsid w:val="00FC325F"/>
    <w:rsid w:val="00FC506E"/>
    <w:rsid w:val="00FD2F92"/>
    <w:rsid w:val="00FE068E"/>
    <w:rsid w:val="00FE10F3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5F52"/>
    <w:pPr>
      <w:keepNext/>
      <w:numPr>
        <w:numId w:val="1"/>
      </w:numPr>
      <w:jc w:val="both"/>
      <w:outlineLvl w:val="0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4"/>
    <w:uiPriority w:val="99"/>
    <w:rsid w:val="003C30A3"/>
    <w:rPr>
      <w:sz w:val="2"/>
      <w:szCs w:val="20"/>
    </w:rPr>
  </w:style>
  <w:style w:type="character" w:customStyle="1" w:styleId="14">
    <w:name w:val="Текст выноски Знак1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_"/>
    <w:link w:val="15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z w:val="26"/>
      <w:szCs w:val="26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</w:rPr>
  </w:style>
  <w:style w:type="character" w:styleId="ac">
    <w:name w:val="Placeholder Text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34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paragraph" w:customStyle="1" w:styleId="headertexttopleveltextcentertext">
    <w:name w:val="headertext topleveltext centertext"/>
    <w:basedOn w:val="a"/>
    <w:rsid w:val="00B5535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rmal (Web)"/>
    <w:basedOn w:val="a"/>
    <w:uiPriority w:val="99"/>
    <w:rsid w:val="00675B0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C2237C"/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9C040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E64C3D"/>
    <w:rPr>
      <w:b/>
      <w:bCs/>
    </w:rPr>
  </w:style>
  <w:style w:type="character" w:customStyle="1" w:styleId="10">
    <w:name w:val="Заголовок 1 Знак"/>
    <w:basedOn w:val="a0"/>
    <w:link w:val="1"/>
    <w:rsid w:val="00AF5F52"/>
    <w:rPr>
      <w:rFonts w:eastAsia="Arial Unicode MS"/>
      <w:b/>
      <w:sz w:val="28"/>
      <w:u w:val="single"/>
      <w:lang w:eastAsia="ar-SA"/>
    </w:rPr>
  </w:style>
  <w:style w:type="table" w:styleId="af2">
    <w:name w:val="Table Grid"/>
    <w:basedOn w:val="a1"/>
    <w:uiPriority w:val="59"/>
    <w:rsid w:val="00022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82C841AEEB506C9A2335C74CBED291973C2F14A569CF615863DD2E8320EDC635DD691E8E5A7AFA0D034603CDO3KDI" TargetMode="Externa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639C9BA37EF232CA5CF395EA4F044A736B2BD22AFB89C850CADE8897D9B0EB475590D8EA5309E9A7FBFD8D89ED0F27690A15287DCD5589tAc1I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BA37-433B-4BEE-8ED1-FDFC2380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SPecialiST RePack</Company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Comp</cp:lastModifiedBy>
  <cp:revision>3</cp:revision>
  <cp:lastPrinted>2021-07-15T04:14:00Z</cp:lastPrinted>
  <dcterms:created xsi:type="dcterms:W3CDTF">2024-08-08T07:41:00Z</dcterms:created>
  <dcterms:modified xsi:type="dcterms:W3CDTF">2024-08-08T07:43:00Z</dcterms:modified>
</cp:coreProperties>
</file>